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EEDA4">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eastAsia="方正仿宋_GBK"/>
          <w:sz w:val="32"/>
          <w:szCs w:val="32"/>
        </w:rPr>
      </w:pPr>
    </w:p>
    <w:p w14:paraId="74C21C7A">
      <w:pPr>
        <w:pStyle w:val="31"/>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hint="eastAsia" w:ascii="Times New Roman" w:hAnsi="Times New Roman" w:eastAsia="方正小标宋_GBK" w:cs="方正小标宋_GBK"/>
          <w:kern w:val="2"/>
          <w:sz w:val="44"/>
          <w:szCs w:val="44"/>
          <w:lang w:bidi="ar"/>
        </w:rPr>
      </w:pPr>
      <w:bookmarkStart w:id="0" w:name="_GoBack"/>
      <w:bookmarkEnd w:id="0"/>
    </w:p>
    <w:p w14:paraId="347D83DB">
      <w:pPr>
        <w:pStyle w:val="31"/>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重庆市教育委员会</w:t>
      </w:r>
    </w:p>
    <w:p w14:paraId="5C4855C1">
      <w:pPr>
        <w:pStyle w:val="31"/>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ascii="Times New Roman" w:hAnsi="Times New Roman" w:eastAsia="方正仿宋_GBK"/>
          <w:sz w:val="32"/>
          <w:szCs w:val="32"/>
        </w:rPr>
      </w:pPr>
      <w:r>
        <w:rPr>
          <w:rFonts w:hint="eastAsia" w:ascii="Times New Roman" w:hAnsi="Times New Roman" w:eastAsia="方正小标宋_GBK" w:cs="方正小标宋_GBK"/>
          <w:kern w:val="2"/>
          <w:sz w:val="44"/>
          <w:szCs w:val="44"/>
          <w:lang w:bidi="ar"/>
        </w:rPr>
        <w:t>关于印发《重庆市研究生教育高质量发展行动方案（2026—2030年）》的通知</w:t>
      </w:r>
    </w:p>
    <w:p w14:paraId="7B791411">
      <w:pPr>
        <w:spacing w:line="600" w:lineRule="exact"/>
        <w:jc w:val="center"/>
        <w:rPr>
          <w:rFonts w:hint="eastAsia" w:ascii="Times New Roman" w:hAnsi="Times New Roman" w:eastAsia="方正仿宋_GBK"/>
          <w:color w:val="000000"/>
          <w:kern w:val="0"/>
          <w:sz w:val="32"/>
          <w:szCs w:val="32"/>
        </w:rPr>
      </w:pPr>
    </w:p>
    <w:p w14:paraId="52BE6EC0">
      <w:pPr>
        <w:spacing w:line="600" w:lineRule="exact"/>
        <w:jc w:val="center"/>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渝教研发〔2026〕2号</w:t>
      </w:r>
    </w:p>
    <w:p w14:paraId="6586949F">
      <w:pPr>
        <w:spacing w:line="600" w:lineRule="exact"/>
        <w:ind w:firstLine="640" w:firstLineChars="200"/>
        <w:rPr>
          <w:rFonts w:ascii="Times New Roman" w:hAnsi="Times New Roman" w:eastAsia="方正仿宋_GBK"/>
          <w:sz w:val="32"/>
          <w:szCs w:val="20"/>
        </w:rPr>
      </w:pPr>
    </w:p>
    <w:p w14:paraId="2661B4BE">
      <w:pPr>
        <w:spacing w:line="600" w:lineRule="exact"/>
        <w:rPr>
          <w:rFonts w:hint="eastAsia" w:ascii="Times New Roman" w:hAnsi="Times New Roman" w:eastAsia="方正仿宋_GBK" w:cs="方正楷体_GBK"/>
          <w:sz w:val="32"/>
          <w:szCs w:val="20"/>
        </w:rPr>
      </w:pPr>
      <w:r>
        <w:rPr>
          <w:rFonts w:hint="eastAsia" w:ascii="Times New Roman" w:hAnsi="Times New Roman" w:eastAsia="方正仿宋_GBK" w:cs="方正楷体_GBK"/>
          <w:sz w:val="32"/>
          <w:szCs w:val="20"/>
        </w:rPr>
        <w:t>各有关高校：</w:t>
      </w:r>
    </w:p>
    <w:p w14:paraId="509CBC57">
      <w:pPr>
        <w:spacing w:line="600" w:lineRule="exact"/>
        <w:ind w:firstLine="640" w:firstLineChars="200"/>
        <w:rPr>
          <w:rFonts w:hint="eastAsia" w:ascii="Times New Roman" w:hAnsi="Times New Roman" w:eastAsia="方正仿宋_GBK" w:cs="方正楷体_GBK"/>
          <w:sz w:val="32"/>
          <w:szCs w:val="20"/>
        </w:rPr>
      </w:pPr>
      <w:r>
        <w:rPr>
          <w:rFonts w:hint="eastAsia" w:ascii="Times New Roman" w:hAnsi="Times New Roman" w:eastAsia="方正仿宋_GBK" w:cs="方正楷体_GBK"/>
          <w:sz w:val="32"/>
          <w:szCs w:val="20"/>
        </w:rPr>
        <w:t>现将《重庆市研究生教育高质量发展行动方案（2026—2030年）》印发给你们，请结合实际认真抓好落实。</w:t>
      </w:r>
    </w:p>
    <w:p w14:paraId="0992AA1E">
      <w:pPr>
        <w:spacing w:line="600" w:lineRule="exact"/>
        <w:ind w:firstLine="640" w:firstLineChars="200"/>
        <w:rPr>
          <w:rFonts w:hint="eastAsia" w:ascii="Times New Roman" w:hAnsi="Times New Roman" w:eastAsia="方正仿宋_GBK" w:cs="方正楷体_GBK"/>
          <w:sz w:val="32"/>
          <w:szCs w:val="20"/>
        </w:rPr>
      </w:pPr>
    </w:p>
    <w:p w14:paraId="2694B6A7">
      <w:pPr>
        <w:pStyle w:val="2"/>
        <w:spacing w:beforeAutospacing="0" w:afterAutospacing="0" w:line="600" w:lineRule="exact"/>
        <w:jc w:val="both"/>
        <w:rPr>
          <w:rFonts w:ascii="Times New Roman" w:hAnsi="Times New Roman" w:eastAsia="方正仿宋_GBK"/>
          <w:b w:val="0"/>
        </w:rPr>
      </w:pPr>
    </w:p>
    <w:p w14:paraId="0896368E">
      <w:pPr>
        <w:spacing w:line="600" w:lineRule="exact"/>
        <w:ind w:firstLine="5440" w:firstLineChars="1700"/>
        <w:rPr>
          <w:rFonts w:hint="eastAsia" w:ascii="Times New Roman" w:hAnsi="Times New Roman" w:eastAsia="方正仿宋_GBK" w:cs="方正楷体_GBK"/>
          <w:sz w:val="32"/>
          <w:szCs w:val="20"/>
        </w:rPr>
      </w:pPr>
      <w:r>
        <w:rPr>
          <w:rFonts w:hint="eastAsia" w:ascii="Times New Roman" w:hAnsi="Times New Roman" w:eastAsia="方正仿宋_GBK" w:cs="方正楷体_GBK"/>
          <w:sz w:val="32"/>
          <w:szCs w:val="20"/>
        </w:rPr>
        <w:t>重庆市教育委员会</w:t>
      </w:r>
    </w:p>
    <w:p w14:paraId="3E422DC3">
      <w:pPr>
        <w:spacing w:line="600" w:lineRule="exact"/>
        <w:ind w:firstLine="5440" w:firstLineChars="1700"/>
        <w:rPr>
          <w:rFonts w:hint="eastAsia" w:ascii="Times New Roman" w:hAnsi="Times New Roman" w:eastAsia="方正仿宋_GBK" w:cs="方正楷体_GBK"/>
          <w:sz w:val="32"/>
          <w:szCs w:val="20"/>
        </w:rPr>
      </w:pPr>
      <w:r>
        <w:rPr>
          <w:rFonts w:hint="eastAsia" w:ascii="Times New Roman" w:hAnsi="Times New Roman" w:eastAsia="方正仿宋_GBK" w:cs="方正楷体_GBK"/>
          <w:sz w:val="32"/>
          <w:szCs w:val="20"/>
        </w:rPr>
        <w:t>2026年5月26日</w:t>
      </w:r>
    </w:p>
    <w:p w14:paraId="027CCC94">
      <w:pPr>
        <w:rPr>
          <w:rFonts w:hint="eastAsia" w:ascii="Times New Roman" w:hAnsi="Times New Roman" w:eastAsia="方正仿宋_GBK" w:cs="方正楷体_GBK"/>
          <w:sz w:val="32"/>
          <w:szCs w:val="20"/>
        </w:rPr>
      </w:pPr>
      <w:r>
        <w:rPr>
          <w:rFonts w:hint="eastAsia" w:ascii="Times New Roman" w:hAnsi="Times New Roman" w:eastAsia="方正仿宋_GBK" w:cs="方正楷体_GBK"/>
          <w:sz w:val="32"/>
          <w:szCs w:val="20"/>
        </w:rPr>
        <w:br w:type="page"/>
      </w:r>
    </w:p>
    <w:p w14:paraId="29E4FB1C">
      <w:pPr>
        <w:spacing w:line="600" w:lineRule="exact"/>
        <w:jc w:val="center"/>
        <w:rPr>
          <w:rFonts w:ascii="Times New Roman" w:hAnsi="Times New Roman" w:eastAsia="方正小标宋_GBK"/>
          <w:snapToGrid w:val="0"/>
          <w:kern w:val="0"/>
          <w:sz w:val="44"/>
          <w:szCs w:val="44"/>
        </w:rPr>
      </w:pPr>
    </w:p>
    <w:p w14:paraId="480F9A0F">
      <w:pPr>
        <w:spacing w:line="600" w:lineRule="exact"/>
        <w:jc w:val="center"/>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重庆市研究生教育高质量发展行动方案（2026—2030年）</w:t>
      </w:r>
    </w:p>
    <w:p w14:paraId="2C3E3204">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ascii="Times New Roman" w:hAnsi="Times New Roman" w:eastAsia="方正仿宋_GBK"/>
          <w:snapToGrid w:val="0"/>
          <w:kern w:val="0"/>
          <w:sz w:val="32"/>
          <w:szCs w:val="32"/>
        </w:rPr>
      </w:pPr>
    </w:p>
    <w:p w14:paraId="27B95645">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为深入贯彻落实科教兴国战略、人才强国战略、创新驱动发展战略，加快推进教育科技人才一体发展，全面提升拔尖创新人才自主培养质量，增强研究生教育服务支撑国家战略和重庆高质量发展的能力，制定本行动方案。</w:t>
      </w:r>
    </w:p>
    <w:p w14:paraId="441641FF">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一、总体要求</w:t>
      </w:r>
    </w:p>
    <w:p w14:paraId="16561C61">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以习近平新时代中国特色社会主义思想为指导，全面贯彻党的二十大和二十届历次全会精神，落实立德树人根本任务，以服务国家战略和重庆高质量发展为根本导向，以支撑国家高水平科技自立自强为战略使命，以提升拔尖创新人才自主培养能力为核心关键，推动研究生教育从规模扩张向内涵提升的系统性跃升。到2030年，基本建成支撑有力、特色鲜明、西部一流的高质量研究生教育体系，成为重庆建设具有全国影响力的科技创新中心的核心引擎和关键支撑。</w:t>
      </w:r>
    </w:p>
    <w:p w14:paraId="30BFA8E1">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二、重点任务</w:t>
      </w:r>
    </w:p>
    <w:p w14:paraId="222CA897">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（一）突出思想政治教育引领</w:t>
      </w:r>
    </w:p>
    <w:p w14:paraId="310C6DC8">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1．提升研究生思想政治教育实效。</w:t>
      </w:r>
      <w:r>
        <w:rPr>
          <w:rFonts w:hint="eastAsia" w:ascii="Times New Roman" w:hAnsi="Times New Roman" w:eastAsia="方正仿宋_GBK"/>
          <w:sz w:val="32"/>
          <w:szCs w:val="32"/>
        </w:rPr>
        <w:t>实施新时代立德树人工程，讲好习近平新时代中国特色社会主义思想，建强党的理论主课堂、实践育人大课堂、网络育人新课堂。强化日常思想政治教育，结合学科专业特色，打造一批体现“红岩思政”品牌特色的课程思政示范项目。依托科研平台、培养基地等设立党组织，提升基层思政工作能力。加强研究生心理健康教育。</w:t>
      </w:r>
    </w:p>
    <w:p w14:paraId="310B3AEB">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2．构建“导学思政”体系。</w:t>
      </w:r>
      <w:r>
        <w:rPr>
          <w:rFonts w:hint="eastAsia" w:ascii="Times New Roman" w:hAnsi="Times New Roman" w:eastAsia="方正仿宋_GBK"/>
          <w:sz w:val="32"/>
          <w:szCs w:val="32"/>
        </w:rPr>
        <w:t>弘扬科学家精神，引导研究生矢志科研报国。将学术道德、科研诚信、实验安全、工程伦理教育贯穿培养全过程。支持高校结合自身办学定位、学科专业特色与校园文化积淀，打造特色化导学思政工作体系，推动导师在指导中融入价值引领。健全导师与辅导员、思政课教师协同联动机制。</w:t>
      </w:r>
    </w:p>
    <w:p w14:paraId="4A814BE0">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（二）持续优化学科专业布局</w:t>
      </w:r>
    </w:p>
    <w:p w14:paraId="65FEEA9D">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3．统筹规划学科专业布局。科学编制全市学位授予单位布局与学科专业发展规划，推进博士、硕士、学士学位授予单位立项建设培育，稳步优化三级学位结构。动态更新《重庆市研究生教育学科专业设置引导发展清单》，分类提出鼓励增设和限制发展的目录，引导高校特色错位发展。指导高校按审核周期制定学位点建设规划，依规培育、有序申报。</w:t>
      </w:r>
    </w:p>
    <w:p w14:paraId="317A892F">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4．加快设置急需学科专业。联合市级行业主管部门分领域建立常态化人才需求研判制度，发布急需紧缺人才目录。实施急需学科专业超常布局专项，遴选一批有意愿、有基础的高校，聚焦重点领域，整合校企园区资源，推进协同育人与项目共研，建立绿色通道，在招生计划、经费投入、平台建设等方面给予倾斜支持，加快提升急需紧缺人才培养的核心能力。</w:t>
      </w:r>
    </w:p>
    <w:p w14:paraId="5CE28391">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5．建立需求牵引的动态调整机制。探索建立以适配度、贡献度和特色发展为导向的存量学科专业建设监测评价体系，指导高校定期评估学科专业建设质量，主动调整撤并偏离学校定位、脱离社会需求或建设质量不高的学科专业。完善退出机制，给予教师转岗培训、分流安置和过渡期支持，推动沉淀育人资源向特色学科、急需学科、新兴学科、交叉学科投放。</w:t>
      </w:r>
    </w:p>
    <w:p w14:paraId="2B4DE685">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（三）全面夯实教育教学基础</w:t>
      </w:r>
    </w:p>
    <w:p w14:paraId="24A31C45">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6．推动人才培养内涵更新。实施新时代人才培养图谱牵引试点项目，支持高校在优势学科领域试点建设人才培养知识图谱和能力图谱，系统梳理产业关键技术和岗位核心能力，转化为可指导课程设置、教学评价和学位授予的图谱框架，迭代升级人才培养方案，重点推进课程模块重组、科研实践体系设计与学位授予标准修订，确保人才培养与社会需求动态适配。</w:t>
      </w:r>
    </w:p>
    <w:p w14:paraId="6C74147E">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7．强化课程教材建设。加强人工智能通识教育、创新思维及创新方法、科技成果转移转化、创新创业教育等课程建设。加强研究生教材建设，鼓励校企合作开发活页式、工作手册式、数字化等新型教材、案例及配套课件。强化课程质量评价反馈，推动核心课程动态更新。推进区域优质课程案例与教学资源共享，完善跨校选课、学分互认与协同管理机制。</w:t>
      </w:r>
    </w:p>
    <w:p w14:paraId="0CEEAD7D">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8．加强教师队伍建设。研究制定《重庆市加强研究生导师队伍建设八条举措》，系统推进导师队伍专业化、规范化发展。支持高校建设一批导师发展中心，支撑导师队伍建设。加强校内外导师分类管理、协同指导与联合评价。鼓励高校建设教学团队和导师团队。联合行业主管部门共建“重庆市研究生产业导师库”和“重庆市研究生导师产教融合基地”。</w:t>
      </w:r>
    </w:p>
    <w:p w14:paraId="3118018D">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（四）深化人才培养模式改革</w:t>
      </w:r>
    </w:p>
    <w:p w14:paraId="66913483">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9．深化学术学位人才培养模式改革。</w:t>
      </w:r>
      <w:r>
        <w:rPr>
          <w:rFonts w:hint="eastAsia" w:ascii="Times New Roman" w:hAnsi="Times New Roman" w:eastAsia="方正仿宋_GBK"/>
          <w:sz w:val="32"/>
          <w:szCs w:val="32"/>
        </w:rPr>
        <w:t>强化有组织科研与研究生培养的深度融合，依托重大科研平台，</w:t>
      </w:r>
      <w:r>
        <w:rPr>
          <w:rFonts w:hint="eastAsia" w:ascii="Times New Roman" w:hAnsi="Times New Roman" w:eastAsia="方正仿宋_GBK"/>
          <w:snapToGrid w:val="0"/>
          <w:kern w:val="0"/>
          <w:sz w:val="32"/>
          <w:szCs w:val="32"/>
        </w:rPr>
        <w:t>组织研究生深度参与科研项目和技术攻关，强化从选题、实验、数据分析到成果凝练的全流程科研训练</w:t>
      </w:r>
      <w:r>
        <w:rPr>
          <w:rFonts w:hint="eastAsia" w:ascii="Times New Roman" w:hAnsi="Times New Roman" w:eastAsia="方正仿宋_GBK"/>
          <w:sz w:val="32"/>
          <w:szCs w:val="32"/>
        </w:rPr>
        <w:t>。支持基础学科、优势工科试点拔尖创新人才培养特区，推行长学制贯通培养，提高推免生比例，系统设计本硕博贯通培养方案和课程。加强博士研究生教育。</w:t>
      </w:r>
    </w:p>
    <w:p w14:paraId="1E16C97F">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10．深化专业学位人才培养模式改革。聚焦服务“33618”现代制造业集群，推动行业企业深度参与培养全过程。以工程硕博士人才培养改革为牵引，支持高校与龙头企业共建卓越工程师学院等产教融合平台，推广工学交替、企业命题等典型经验，带动公共卫生、教育、法律等专业学位领域整体改革。深化评价机制改革，支持以实践成果申请专业学位。</w:t>
      </w:r>
    </w:p>
    <w:p w14:paraId="6A69F2EB">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11．强化交叉复合型人才培养。</w:t>
      </w:r>
      <w:r>
        <w:rPr>
          <w:rFonts w:hint="eastAsia" w:ascii="Times New Roman" w:hAnsi="Times New Roman" w:eastAsia="方正仿宋_GBK"/>
          <w:sz w:val="32"/>
          <w:szCs w:val="32"/>
        </w:rPr>
        <w:t>围绕具身智能、脑机接口、量子信息、生物制造等未来产业方向，支持高校实体化建设学科交叉中心，灵活设置交叉学科人才培养项目，推动多学科协同育人。推进管理机制和成果评价改革，打造跨学科课程体系和交叉学科课程模块，鼓励组建跨学科导师团队，实施联合指导、轮转培养等机制。深化军地协同，加强军民两用人才培养。</w:t>
      </w:r>
    </w:p>
    <w:p w14:paraId="0BBAB766">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12．提升创新创造创业能力。</w:t>
      </w:r>
      <w:r>
        <w:rPr>
          <w:rFonts w:hint="eastAsia" w:ascii="Times New Roman" w:hAnsi="Times New Roman" w:eastAsia="方正仿宋_GBK"/>
          <w:sz w:val="32"/>
          <w:szCs w:val="32"/>
        </w:rPr>
        <w:t>将创新思维训练融入课程教学、科研指导与实践锻炼全过程，开展“重庆市研究生科研创新项目”。举办研究生创新创业大赛和学科竞赛，建立“以赛促创、以赛促转”的成果对接机制。支持高校建设众创空间等创新平台。建设重庆技术转移学院、研究生创新创业基地，打造创新创业“陪跑人”体系，提升研究生科技成果转化实操能力。</w:t>
      </w:r>
    </w:p>
    <w:p w14:paraId="3168144B">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13．推动人工智能赋能研究生教育。</w:t>
      </w:r>
      <w:r>
        <w:rPr>
          <w:rFonts w:hint="eastAsia" w:ascii="Times New Roman" w:hAnsi="Times New Roman" w:eastAsia="方正仿宋_GBK"/>
          <w:sz w:val="32"/>
          <w:szCs w:val="32"/>
        </w:rPr>
        <w:t>推进“AI+课程”提质，建设人工智能通识课程和“人工智能+X”跨学科课程。推进“AI+教学”场景创新，探索AI助教、智能答疑、虚拟仿真实验等智慧教学场景。推进“AI+导师”赋能提升，提升导师人工智能素养和人机协作指导能力。推进“AI+治理”智慧平台建设，</w:t>
      </w:r>
      <w:r>
        <w:rPr>
          <w:rFonts w:hint="eastAsia" w:ascii="Times New Roman" w:hAnsi="Times New Roman" w:eastAsia="方正仿宋_GBK"/>
          <w:snapToGrid w:val="0"/>
          <w:kern w:val="0"/>
          <w:sz w:val="32"/>
          <w:szCs w:val="32"/>
        </w:rPr>
        <w:t>对接“数字重庆”建设，</w:t>
      </w:r>
      <w:r>
        <w:rPr>
          <w:rFonts w:hint="eastAsia" w:ascii="Times New Roman" w:hAnsi="Times New Roman" w:eastAsia="方正仿宋_GBK"/>
          <w:sz w:val="32"/>
          <w:szCs w:val="32"/>
        </w:rPr>
        <w:t>升级研究生教育管理服务平台。</w:t>
      </w:r>
    </w:p>
    <w:p w14:paraId="6FC1A3E8">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（五）提升高能级平台支撑力</w:t>
      </w:r>
    </w:p>
    <w:p w14:paraId="2A2AA3C8">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14．夯实人才培养平台基础。</w:t>
      </w:r>
      <w:r>
        <w:rPr>
          <w:rFonts w:hint="eastAsia" w:ascii="Times New Roman" w:hAnsi="Times New Roman" w:eastAsia="方正仿宋_GBK"/>
          <w:sz w:val="32"/>
          <w:szCs w:val="32"/>
        </w:rPr>
        <w:t>建强校内实验室，推动外部优质平台向高校开放共享，扩大科研设施与数据资源的使用效益。支持高校与龙头企业共建产教协同研究生联合培养基地，常态化导入企业先进设备、产线数据与真实工程案例，促进优质生产资源向教育内容转化。加快建设一批科技小院，支持拓展至医药、设计等领域，形成特色化、集群化发展的科技小院体系。</w:t>
      </w:r>
    </w:p>
    <w:p w14:paraId="1F9C5C4F">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15．建好用好教育部重庆高等研究院。</w:t>
      </w:r>
      <w:r>
        <w:rPr>
          <w:rFonts w:hint="eastAsia" w:ascii="Times New Roman" w:hAnsi="Times New Roman" w:eastAsia="方正仿宋_GBK"/>
          <w:sz w:val="32"/>
          <w:szCs w:val="32"/>
        </w:rPr>
        <w:t>充分发挥国家级新型平台作用，吸引全国“双一流”高校高水平科研团队来渝，开展校企联合人才培养和科研攻关，带动市内高校学科建设水平，推动全国高水平高校、优势学科与重庆重点行业、头部企业深度合作，打造集有组织人才培养、科研攻关、成果转化于一体的产教融合与科教协同新样本。</w:t>
      </w:r>
    </w:p>
    <w:p w14:paraId="78A48779">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napToGrid w:val="0"/>
          <w:kern w:val="0"/>
          <w:sz w:val="32"/>
          <w:szCs w:val="32"/>
        </w:rPr>
        <w:t>16．聚力打造重庆人工智能学院。</w:t>
      </w:r>
      <w:r>
        <w:rPr>
          <w:rFonts w:hint="eastAsia" w:ascii="Times New Roman" w:hAnsi="Times New Roman" w:eastAsia="方正仿宋_GBK"/>
          <w:sz w:val="32"/>
          <w:szCs w:val="32"/>
        </w:rPr>
        <w:t>紧扣研究型新型学院办学定位，持续深化跨校、跨界联合培养机制，加快打造一流的育人环境、办学模式、课程体系、师资队伍、管理服务、培训体系，探索构建具有示范性与标志性的“人工智能+教育”人才培养新模式，全面提升人工智能领域人才自主培养水平和原始创新能力，精准赋能重庆人工智能产业发展。</w:t>
      </w:r>
    </w:p>
    <w:p w14:paraId="3DEE58AD">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（六）加强研究生教育交流合作</w:t>
      </w:r>
    </w:p>
    <w:p w14:paraId="1DF3A153">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17．推动区域教育资源共享。支持高校与区县政府共建联合实验室或实践基地。深化川渝研究生教育全方位合作，推动川渝高校围绕重点产业和急需领域开展研究生联合培养，建设一批产教融合共同体。充分发挥重庆市研究生教育学会的桥梁纽带作用，组织开展理论研究、学术交流和业务培训，搭建信息共享平台，推动优质教育资源的跨校流动与协同创新。</w:t>
      </w:r>
    </w:p>
    <w:p w14:paraId="38DF60AD">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18．扩大国际交流合作。主动对接“一带一路”和西部陆海新通道建设，支持高校与企业在海外共建实践基地，健全海外实践学分认定与安全管理机制。聚焦理工农医及新重庆建设急需紧缺的学科领域，积极引进海外高校来渝开展中外合作办学，引进海外高层次人才担任研究生导师，鼓励高校开展中外双导师联合培养研究生项目。</w:t>
      </w:r>
    </w:p>
    <w:p w14:paraId="20B079CC">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（七）健全质量保障长效机制</w:t>
      </w:r>
    </w:p>
    <w:p w14:paraId="2E211DFE">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19．深化人才培养评价改革。全面落实《中华人民共和国学位法》，指导高校完善学术学位与专业学位分类发展的培养与评价一体化体系。健全年度报告与抽检制度，强化全过程监控，对质量不达标者预警整改，严重者予以约谈、暂停新增点或减招。加强研究生就业指导，拓宽就业渠道。健全毕业生就业质量跟踪反馈机制。</w:t>
      </w:r>
    </w:p>
    <w:p w14:paraId="513206F6">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20．建立资源配置优化与动态调整机制。完善研究生奖助与激励体系。构建基于培养质量、改革绩效与社会贡献的差异化资源配置体系，引导资源向成效显著的单位和关键领域汇聚。深化经费绩效管理，定期开展资源投入与产出效益评估。指导高校建立健全资源统筹整合机制，完善内部预算分配与成本核算体系，优化资源配置结构，提升资源使用效益。</w:t>
      </w:r>
    </w:p>
    <w:p w14:paraId="00262356">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三、工作要求</w:t>
      </w:r>
    </w:p>
    <w:p w14:paraId="4A7425A0">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楷体_GBK"/>
          <w:sz w:val="32"/>
          <w:szCs w:val="32"/>
        </w:rPr>
        <w:t>（一）健全领导机制，压实主体责任。</w:t>
      </w:r>
      <w:r>
        <w:rPr>
          <w:rFonts w:hint="eastAsia" w:ascii="Times New Roman" w:hAnsi="Times New Roman" w:eastAsia="方正仿宋_GBK"/>
          <w:snapToGrid w:val="0"/>
          <w:kern w:val="0"/>
          <w:sz w:val="32"/>
          <w:szCs w:val="32"/>
        </w:rPr>
        <w:t>加强部门协同联动，统筹协调跨领域重点难点问题。压实高校主体责任，将改革任务纳入发展规划与年度要点，实行清单管理，确保落地见效。</w:t>
      </w:r>
    </w:p>
    <w:p w14:paraId="7BB84E47">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楷体_GBK"/>
          <w:sz w:val="32"/>
          <w:szCs w:val="32"/>
        </w:rPr>
        <w:t>（二）强化投入保障，优化资源配置。</w:t>
      </w:r>
      <w:r>
        <w:rPr>
          <w:rFonts w:hint="eastAsia" w:ascii="Times New Roman" w:hAnsi="Times New Roman" w:eastAsia="方正仿宋_GBK"/>
          <w:snapToGrid w:val="0"/>
          <w:kern w:val="0"/>
          <w:sz w:val="32"/>
          <w:szCs w:val="32"/>
        </w:rPr>
        <w:t>积极争取中央和市级财政专项支持，健全差异化资源配置机制。鼓励高校拓宽经费来源渠道，吸引行业企业和社会力量多元投入。</w:t>
      </w:r>
    </w:p>
    <w:p w14:paraId="20A7DFF2">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楷体_GBK"/>
          <w:sz w:val="32"/>
          <w:szCs w:val="32"/>
        </w:rPr>
        <w:t>（三）完善监测评估，强化过程管理。</w:t>
      </w:r>
      <w:r>
        <w:rPr>
          <w:rFonts w:hint="eastAsia" w:ascii="Times New Roman" w:hAnsi="Times New Roman" w:eastAsia="方正仿宋_GBK"/>
          <w:snapToGrid w:val="0"/>
          <w:kern w:val="0"/>
          <w:sz w:val="32"/>
          <w:szCs w:val="32"/>
        </w:rPr>
        <w:t>建立督导检查、动态监测与跟踪问效机制，将重点任务完成情况纳入考核评价。定期开展阶段性评估，加强关键指标预警反馈。</w:t>
      </w:r>
    </w:p>
    <w:p w14:paraId="1C2C46EC">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楷体_GBK"/>
          <w:sz w:val="32"/>
          <w:szCs w:val="32"/>
        </w:rPr>
        <w:t>（四）加强宣传引导，凝聚发展合力。</w:t>
      </w:r>
      <w:r>
        <w:rPr>
          <w:rFonts w:hint="eastAsia" w:ascii="Times New Roman" w:hAnsi="Times New Roman" w:eastAsia="方正仿宋_GBK"/>
          <w:snapToGrid w:val="0"/>
          <w:kern w:val="0"/>
          <w:sz w:val="32"/>
          <w:szCs w:val="32"/>
        </w:rPr>
        <w:t>加强政策解读与典型宣传，营造支持研究生教育改革的良好氛围。广泛凝聚共识、汇聚资源，形成全社会共同推进高质量发展的强大合力。</w:t>
      </w:r>
    </w:p>
    <w:p w14:paraId="46700CB5">
      <w:pPr>
        <w:pBdr>
          <w:top w:val="none" w:color="000000" w:sz="0" w:space="0"/>
          <w:left w:val="none" w:color="000000" w:sz="0" w:space="0"/>
          <w:bottom w:val="none" w:color="000000" w:sz="0" w:space="31"/>
          <w:right w:val="none" w:color="000000" w:sz="0" w:space="4"/>
        </w:pBdr>
        <w:autoSpaceDN w:val="0"/>
        <w:snapToGrid w:val="0"/>
        <w:spacing w:line="600" w:lineRule="exact"/>
        <w:ind w:firstLine="640" w:firstLineChars="200"/>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本方案自印发之日起施行。</w:t>
      </w:r>
    </w:p>
    <w:p w14:paraId="2CAF74E0">
      <w:pPr>
        <w:spacing w:line="600" w:lineRule="exact"/>
        <w:rPr>
          <w:rFonts w:ascii="Times New Roman" w:hAnsi="Times New Roman" w:eastAsia="方正仿宋_GBK"/>
          <w:color w:val="000000"/>
          <w:sz w:val="32"/>
          <w:szCs w:val="32"/>
        </w:rPr>
      </w:pPr>
    </w:p>
    <w:p w14:paraId="1CD9DB85">
      <w:pPr>
        <w:tabs>
          <w:tab w:val="left" w:pos="8216"/>
          <w:tab w:val="left" w:pos="8690"/>
        </w:tabs>
        <w:adjustRightInd w:val="0"/>
        <w:snapToGrid w:val="0"/>
        <w:spacing w:line="600" w:lineRule="exact"/>
        <w:ind w:firstLine="473" w:firstLineChars="169"/>
        <w:jc w:val="left"/>
        <w:rPr>
          <w:rFonts w:ascii="Times New Roman" w:hAnsi="Times New Roman" w:eastAsia="方正仿宋_GBK"/>
          <w:sz w:val="28"/>
          <w:szCs w:val="28"/>
        </w:rPr>
      </w:pPr>
    </w:p>
    <w:p w14:paraId="4FA44DB8">
      <w:pPr>
        <w:pStyle w:val="12"/>
        <w:ind w:firstLine="640"/>
        <w:rPr>
          <w:rFonts w:ascii="Times New Roman" w:hAnsi="Times New Roman"/>
        </w:rPr>
      </w:pPr>
    </w:p>
    <w:p w14:paraId="41075692">
      <w:pPr>
        <w:rPr>
          <w:rFonts w:ascii="Times New Roman" w:hAnsi="Times New Roman"/>
        </w:rPr>
      </w:pPr>
    </w:p>
    <w:p w14:paraId="4D9ED7FA">
      <w:pPr>
        <w:pStyle w:val="12"/>
        <w:ind w:firstLine="640"/>
        <w:rPr>
          <w:rFonts w:ascii="Times New Roman" w:hAnsi="Times New Roman"/>
        </w:rPr>
      </w:pPr>
    </w:p>
    <w:p w14:paraId="135AE82B">
      <w:pPr>
        <w:rPr>
          <w:rFonts w:ascii="Times New Roman" w:hAnsi="Times New Roman"/>
        </w:rPr>
      </w:pPr>
    </w:p>
    <w:p w14:paraId="015A8055">
      <w:pPr>
        <w:pStyle w:val="12"/>
        <w:ind w:firstLine="640"/>
        <w:rPr>
          <w:rFonts w:ascii="Times New Roman" w:hAnsi="Times New Roman"/>
        </w:rPr>
      </w:pPr>
    </w:p>
    <w:p w14:paraId="7F802ECC">
      <w:pPr>
        <w:rPr>
          <w:rFonts w:ascii="Times New Roman" w:hAnsi="Times New Roman"/>
        </w:rPr>
      </w:pPr>
    </w:p>
    <w:p w14:paraId="6ACFD6C2">
      <w:pPr>
        <w:pStyle w:val="12"/>
        <w:ind w:firstLine="640"/>
        <w:rPr>
          <w:rFonts w:ascii="Times New Roman" w:hAnsi="Times New Roman"/>
        </w:rPr>
      </w:pPr>
    </w:p>
    <w:p w14:paraId="60AFC01A">
      <w:pPr>
        <w:rPr>
          <w:rFonts w:ascii="Times New Roman" w:hAnsi="Times New Roman"/>
        </w:rPr>
      </w:pPr>
    </w:p>
    <w:p w14:paraId="5F6AD2B3">
      <w:pPr>
        <w:pStyle w:val="12"/>
        <w:ind w:firstLine="640"/>
        <w:rPr>
          <w:rFonts w:ascii="Times New Roman" w:hAnsi="Times New Roman"/>
        </w:rPr>
      </w:pPr>
    </w:p>
    <w:p w14:paraId="73D68FDA">
      <w:pPr>
        <w:rPr>
          <w:rFonts w:ascii="Times New Roman" w:hAnsi="Times New Roman"/>
        </w:rPr>
      </w:pPr>
    </w:p>
    <w:p w14:paraId="7D5DECBA">
      <w:pPr>
        <w:pStyle w:val="12"/>
        <w:ind w:firstLine="640"/>
        <w:rPr>
          <w:rFonts w:ascii="Times New Roman" w:hAnsi="Times New Roman"/>
        </w:rPr>
      </w:pPr>
    </w:p>
    <w:p w14:paraId="1183E920">
      <w:pPr>
        <w:rPr>
          <w:rFonts w:ascii="Times New Roman" w:hAnsi="Times New Roman"/>
        </w:rPr>
      </w:pPr>
    </w:p>
    <w:p w14:paraId="02FC8CAF">
      <w:pPr>
        <w:pStyle w:val="12"/>
        <w:ind w:firstLine="640"/>
        <w:rPr>
          <w:rFonts w:ascii="Times New Roman" w:hAnsi="Times New Roman"/>
        </w:rPr>
      </w:pPr>
    </w:p>
    <w:p w14:paraId="2227B48E">
      <w:pPr>
        <w:rPr>
          <w:rFonts w:ascii="Times New Roman" w:hAnsi="Times New Roman"/>
        </w:rPr>
      </w:pPr>
    </w:p>
    <w:p w14:paraId="69B813D0">
      <w:pPr>
        <w:pStyle w:val="12"/>
        <w:ind w:firstLine="640"/>
        <w:rPr>
          <w:rFonts w:ascii="Times New Roman" w:hAnsi="Times New Roman"/>
        </w:rPr>
      </w:pPr>
    </w:p>
    <w:p w14:paraId="27BCA5FA">
      <w:pPr>
        <w:rPr>
          <w:rFonts w:ascii="Times New Roman" w:hAnsi="Times New Roman"/>
        </w:rPr>
      </w:pPr>
    </w:p>
    <w:p w14:paraId="57D958A5">
      <w:pPr>
        <w:pStyle w:val="12"/>
        <w:ind w:firstLine="640"/>
        <w:rPr>
          <w:rFonts w:ascii="Times New Roman" w:hAnsi="Times New Roman"/>
        </w:rPr>
      </w:pPr>
    </w:p>
    <w:p w14:paraId="2B2AFFBE">
      <w:pPr>
        <w:rPr>
          <w:rFonts w:ascii="Times New Roman" w:hAnsi="Times New Roman"/>
        </w:rPr>
      </w:pPr>
    </w:p>
    <w:p w14:paraId="78125DEC">
      <w:pPr>
        <w:pStyle w:val="12"/>
        <w:ind w:firstLine="640"/>
        <w:rPr>
          <w:rFonts w:ascii="Times New Roman" w:hAnsi="Times New Roman"/>
        </w:rPr>
      </w:pPr>
    </w:p>
    <w:p w14:paraId="7A68A3AB">
      <w:pPr>
        <w:rPr>
          <w:rFonts w:ascii="Times New Roman" w:hAnsi="Times New Roman"/>
        </w:rPr>
      </w:pPr>
    </w:p>
    <w:p w14:paraId="4D44C75F">
      <w:pPr>
        <w:pStyle w:val="12"/>
        <w:ind w:firstLine="640"/>
        <w:rPr>
          <w:rFonts w:ascii="Times New Roman" w:hAnsi="Times New Roman"/>
        </w:rPr>
      </w:pPr>
    </w:p>
    <w:p w14:paraId="4B1B610A">
      <w:pPr>
        <w:pStyle w:val="12"/>
        <w:ind w:firstLine="0" w:firstLineChars="0"/>
        <w:rPr>
          <w:rFonts w:hint="eastAsia" w:ascii="Times New Roman" w:hAnsi="Times New Roman"/>
        </w:rPr>
      </w:pPr>
    </w:p>
    <w:p w14:paraId="4487F3ED">
      <w:pPr>
        <w:pStyle w:val="12"/>
        <w:ind w:firstLine="640"/>
        <w:rPr>
          <w:rFonts w:hint="eastAsia"/>
        </w:rPr>
      </w:pPr>
    </w:p>
    <w:p w14:paraId="5A742A8F">
      <w:pPr>
        <w:pStyle w:val="12"/>
        <w:ind w:firstLine="0" w:firstLineChars="0"/>
        <w:rPr>
          <w:rFonts w:hint="eastAsia" w:ascii="Times New Roman" w:hAnsi="Times New Roman"/>
        </w:rPr>
      </w:pPr>
    </w:p>
    <w:p w14:paraId="629A61A9">
      <w:pPr>
        <w:pStyle w:val="12"/>
        <w:spacing w:line="1300" w:lineRule="exact"/>
        <w:ind w:firstLine="0" w:firstLineChars="0"/>
        <w:rPr>
          <w:rFonts w:hint="eastAsia" w:ascii="Times New Roman" w:hAnsi="Times New Roman"/>
        </w:rPr>
      </w:pPr>
    </w:p>
    <w:p w14:paraId="4CE1D384">
      <w:pPr>
        <w:rPr>
          <w:rFonts w:hint="eastAsia" w:ascii="Times New Roman" w:hAnsi="Times New Roman"/>
        </w:rPr>
      </w:pPr>
    </w:p>
    <w:p w14:paraId="0486DADC">
      <w:pPr>
        <w:rPr>
          <w:rFonts w:hint="eastAsia" w:ascii="Times New Roman" w:hAnsi="Times New Roman"/>
        </w:rPr>
      </w:pPr>
    </w:p>
    <w:p w14:paraId="57262CA6">
      <w:pPr>
        <w:rPr>
          <w:rFonts w:hint="eastAsia" w:ascii="Times New Roman" w:hAnsi="Times New Roman"/>
        </w:rPr>
      </w:pPr>
    </w:p>
    <w:p w14:paraId="5331258E">
      <w:pPr>
        <w:rPr>
          <w:rFonts w:hint="eastAsia" w:ascii="Times New Roman" w:hAnsi="Times New Roman"/>
        </w:rPr>
      </w:pPr>
    </w:p>
    <w:p w14:paraId="1659A713">
      <w:pPr>
        <w:rPr>
          <w:rFonts w:hint="eastAsia" w:ascii="Times New Roman" w:hAnsi="Times New Roman"/>
        </w:rPr>
      </w:pPr>
    </w:p>
    <w:p w14:paraId="73F114B8">
      <w:pPr>
        <w:rPr>
          <w:rFonts w:hint="eastAsia" w:ascii="Times New Roman" w:hAnsi="Times New Roman"/>
        </w:rPr>
      </w:pPr>
    </w:p>
    <w:p w14:paraId="54E5BD76">
      <w:pPr>
        <w:rPr>
          <w:rFonts w:hint="eastAsia" w:ascii="Times New Roman" w:hAnsi="Times New Roman"/>
        </w:rPr>
      </w:pPr>
    </w:p>
    <w:p w14:paraId="00B402DD">
      <w:pPr>
        <w:rPr>
          <w:rFonts w:hint="eastAsia" w:ascii="Times New Roman" w:hAnsi="Times New Roman"/>
        </w:rPr>
      </w:pPr>
    </w:p>
    <w:p w14:paraId="530DD2EA">
      <w:pPr>
        <w:rPr>
          <w:rFonts w:hint="eastAsia" w:ascii="Times New Roman" w:hAnsi="Times New Roman"/>
        </w:rPr>
      </w:pPr>
    </w:p>
    <w:p w14:paraId="4433C9D0">
      <w:pPr>
        <w:rPr>
          <w:rFonts w:hint="eastAsia" w:ascii="Times New Roman" w:hAnsi="Times New Roman"/>
        </w:rPr>
      </w:pPr>
    </w:p>
    <w:p w14:paraId="2C772D32">
      <w:pPr>
        <w:rPr>
          <w:rFonts w:hint="eastAsia" w:ascii="Times New Roman" w:hAnsi="Times New Roman"/>
        </w:rPr>
      </w:pPr>
    </w:p>
    <w:p w14:paraId="2EAB2583">
      <w:pPr>
        <w:rPr>
          <w:rFonts w:hint="eastAsia" w:ascii="Times New Roman" w:hAnsi="Times New Roman"/>
        </w:rPr>
      </w:pPr>
    </w:p>
    <w:p w14:paraId="2BD97228">
      <w:pPr>
        <w:rPr>
          <w:rFonts w:hint="eastAsia" w:ascii="Times New Roman" w:hAnsi="Times New Roman"/>
        </w:rPr>
      </w:pPr>
    </w:p>
    <w:p w14:paraId="08956328">
      <w:pPr>
        <w:rPr>
          <w:rFonts w:hint="eastAsia" w:ascii="Times New Roman" w:hAnsi="Times New Roman"/>
        </w:rPr>
      </w:pPr>
    </w:p>
    <w:p w14:paraId="31F849A7">
      <w:pPr>
        <w:rPr>
          <w:rFonts w:hint="eastAsia" w:ascii="Times New Roman" w:hAnsi="Times New Roman"/>
        </w:rPr>
      </w:pPr>
    </w:p>
    <w:p w14:paraId="0DE688E0">
      <w:pPr>
        <w:rPr>
          <w:rFonts w:hint="eastAsia" w:ascii="Times New Roman" w:hAnsi="Times New Roman"/>
        </w:rPr>
      </w:pPr>
    </w:p>
    <w:p w14:paraId="74F78D06">
      <w:pPr>
        <w:rPr>
          <w:rFonts w:hint="eastAsia" w:ascii="Times New Roman" w:hAnsi="Times New Roman"/>
        </w:rPr>
      </w:pPr>
    </w:p>
    <w:p w14:paraId="08745BE2">
      <w:pPr>
        <w:rPr>
          <w:rFonts w:hint="eastAsia" w:ascii="Times New Roman" w:hAnsi="Times New Roman"/>
        </w:rPr>
      </w:pPr>
    </w:p>
    <w:p w14:paraId="15DFE980">
      <w:pPr>
        <w:rPr>
          <w:rFonts w:hint="eastAsia" w:ascii="Times New Roman" w:hAnsi="Times New Roman"/>
        </w:rPr>
      </w:pPr>
    </w:p>
    <w:p w14:paraId="7B92F8ED">
      <w:pPr>
        <w:tabs>
          <w:tab w:val="left" w:pos="8216"/>
          <w:tab w:val="left" w:pos="8690"/>
        </w:tabs>
        <w:adjustRightInd w:val="0"/>
        <w:snapToGrid w:val="0"/>
        <w:spacing w:line="600" w:lineRule="exact"/>
        <w:ind w:firstLine="354" w:firstLineChars="169"/>
        <w:jc w:val="left"/>
        <w:rPr>
          <w:rFonts w:hint="eastAsia" w:ascii="Times New Roman" w:hAnsi="Times New Roman" w:eastAsia="方正仿宋_GBK" w:cs="Times New Roman"/>
          <w:sz w:val="32"/>
          <w:szCs w:val="32"/>
          <w:lang w:val="en-US"/>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20955</wp:posOffset>
                </wp:positionV>
                <wp:extent cx="540004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5pt;margin-top:1.65pt;height:0pt;width:425.2pt;z-index:251659264;mso-width-relative:page;mso-height-relative:page;" filled="f" stroked="t" coordsize="21600,21600" o:gfxdata="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ghahNMAAAAG&#10;AQAADwAAAAAAAAABACAAAAAiAAAAZHJzL2Rvd25yZXYueG1sUEsBAhQAFAAAAAgAh07iQJVMj+7o&#10;AQAAuAMAAA4AAAAAAAAAAQAgAAAAIgEAAGRycy9lMm9Eb2MueG1sUEsFBgAAAAAGAAYAWQEAAHwF&#10;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394335</wp:posOffset>
                </wp:positionV>
                <wp:extent cx="540004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65pt;margin-top:31.05pt;height:0pt;width:425.2pt;z-index:251660288;mso-width-relative:page;mso-height-relative:page;" filled="f" stroked="t" coordsize="21600,21600" o:gfxdata="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KZYdfW&#10;AAAACAEAAA8AAAAAAAAAAQAgAAAAIgAAAGRycy9kb3ducmV2LnhtbFBLAQIUABQAAAAIAIdO4kAz&#10;VbSq6QEAALgDAAAOAAAAAAAAAAEAIAAAACU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 xml:space="preserve">重庆市教育委员会办公室          </w:t>
      </w:r>
      <w:r>
        <w:rPr>
          <w:rFonts w:ascii="Times New Roman" w:hAnsi="Times New Roman" w:eastAsia="方正仿宋_GBK"/>
          <w:sz w:val="28"/>
          <w:szCs w:val="28"/>
        </w:rPr>
        <w:t xml:space="preserve"> </w:t>
      </w:r>
      <w:r>
        <w:rPr>
          <w:rFonts w:hint="eastAsia" w:ascii="Times New Roman" w:hAnsi="Times New Roman" w:eastAsia="方正仿宋_GBK"/>
          <w:sz w:val="28"/>
          <w:szCs w:val="28"/>
        </w:rPr>
        <w:t xml:space="preserve">      2026年5月26日印发</w:t>
      </w:r>
    </w:p>
    <w:sectPr>
      <w:headerReference r:id="rId5" w:type="default"/>
      <w:footerReference r:id="rId6" w:type="default"/>
      <w:pgSz w:w="11906" w:h="16838"/>
      <w:pgMar w:top="2098" w:right="1474" w:bottom="1417" w:left="1587" w:header="851" w:footer="850" w:gutter="0"/>
      <w:pgNumType w:fmt="numberInDash" w:start="2"/>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022B4DA-9112-4F17-BB31-7C213242B697}"/>
  </w:font>
  <w:font w:name="等线 Light">
    <w:panose1 w:val="02010600030101010101"/>
    <w:charset w:val="86"/>
    <w:family w:val="auto"/>
    <w:pitch w:val="default"/>
    <w:sig w:usb0="A00002BF" w:usb1="38CF7CFA" w:usb2="00000016" w:usb3="00000000" w:csb0="0004000F" w:csb1="00000000"/>
  </w:font>
  <w:font w:name="Wonder Arial">
    <w:panose1 w:val="00000500000000000000"/>
    <w:charset w:val="00"/>
    <w:family w:val="auto"/>
    <w:pitch w:val="default"/>
    <w:sig w:usb0="00000003" w:usb1="00000000" w:usb2="00000000" w:usb3="00000000" w:csb0="20000011" w:csb1="00000000"/>
  </w:font>
  <w:font w:name="Sweetie">
    <w:panose1 w:val="020B0606030804020204"/>
    <w:charset w:val="00"/>
    <w:family w:val="auto"/>
    <w:pitch w:val="default"/>
    <w:sig w:usb0="E00002EF" w:usb1="4000205B" w:usb2="00000028" w:usb3="00000000" w:csb0="2000019F" w:csb1="00000000"/>
  </w:font>
  <w:font w:name="方正报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12845F62-1BEC-43B6-93EA-B6E6CBFD9968}"/>
  </w:font>
  <w:font w:name="方正小标宋_GBK">
    <w:panose1 w:val="02000000000000000000"/>
    <w:charset w:val="86"/>
    <w:family w:val="script"/>
    <w:pitch w:val="default"/>
    <w:sig w:usb0="A00002BF" w:usb1="38CF7CFA" w:usb2="00082016" w:usb3="00000000" w:csb0="00040001" w:csb1="00000000"/>
    <w:embedRegular r:id="rId3" w:fontKey="{0A4DE0A1-726E-45D0-A6C0-7CFD891AA370}"/>
  </w:font>
  <w:font w:name="方正楷体_GBK">
    <w:panose1 w:val="02000000000000000000"/>
    <w:charset w:val="86"/>
    <w:family w:val="script"/>
    <w:pitch w:val="default"/>
    <w:sig w:usb0="800002BF" w:usb1="38CF7CFA" w:usb2="00000016" w:usb3="00000000" w:csb0="00040000" w:csb1="00000000"/>
    <w:embedRegular r:id="rId4" w:fontKey="{EAE48A2F-CF4C-4534-8F20-64693A2F051D}"/>
  </w:font>
  <w:font w:name="方正黑体_GBK">
    <w:panose1 w:val="02010600010101010101"/>
    <w:charset w:val="86"/>
    <w:family w:val="script"/>
    <w:pitch w:val="default"/>
    <w:sig w:usb0="00000001" w:usb1="080E0000" w:usb2="00000000" w:usb3="00000000" w:csb0="00040000" w:csb1="00000000"/>
    <w:embedRegular r:id="rId5" w:fontKey="{DB3294EE-E88E-431D-93CC-F0F7856667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F751">
    <w:pPr>
      <w:pStyle w:val="9"/>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8A04F">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46E8A04F">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0EA53EC">
    <w:pPr>
      <w:pStyle w:val="9"/>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149225</wp:posOffset>
              </wp:positionV>
              <wp:extent cx="561975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61975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8pt;margin-top:11.75pt;height:0pt;width:442.5pt;z-index:251661312;mso-width-relative:page;mso-height-relative:page;" filled="f" stroked="t" coordsize="21600,21600" o:gfxdata="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AMWyNEA&#10;AAAHAQAADwAAAAAAAAABACAAAAAiAAAAZHJzL2Rvd25yZXYueG1sUEsBAhQAFAAAAAgAh07iQOGP&#10;evntAQAAwgMAAA4AAAAAAAAAAQAgAAAAIAEAAGRycy9lMm9Eb2MueG1sUEsFBgAAAAAGAAYAWQEA&#10;AH8FAAAAAA==&#10;">
              <v:fill on="f" focussize="0,0"/>
              <v:stroke weight="1.75pt" color="#005192" miterlimit="8" joinstyle="miter"/>
              <v:imagedata o:title=""/>
              <o:lock v:ext="edit" aspectratio="f"/>
            </v:line>
          </w:pict>
        </mc:Fallback>
      </mc:AlternateContent>
    </w:r>
  </w:p>
  <w:p w14:paraId="026FFF3F">
    <w:pPr>
      <w:pStyle w:val="9"/>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重庆市教育委员会发布</w:t>
    </w:r>
    <w:r>
      <w:rPr>
        <w:rFonts w:ascii="宋体" w:hAnsi="宋体" w:eastAsia="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A5B1">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462280</wp:posOffset>
              </wp:positionV>
              <wp:extent cx="5577205" cy="1841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77205" cy="1841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7.85pt;margin-top:36.4pt;height:1.45pt;width:439.15pt;z-index:251660288;mso-width-relative:page;mso-height-relative:page;" filled="f" stroked="t" coordsize="21600,21600" o:gfxdata="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LMGq1gAAAAgBAAAPAAAAAAAAAAEAIAAAACIAAABkcnMvZG93bnJl&#10;di54bWxQSwECFAAUAAAACACHTuJA5+0d9/8BAAD1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重庆市教育委员会</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30DB"/>
    <w:rsid w:val="00023B74"/>
    <w:rsid w:val="00066EE5"/>
    <w:rsid w:val="00153E07"/>
    <w:rsid w:val="00172A27"/>
    <w:rsid w:val="001902A2"/>
    <w:rsid w:val="002D60D1"/>
    <w:rsid w:val="00495519"/>
    <w:rsid w:val="0060207D"/>
    <w:rsid w:val="006E7160"/>
    <w:rsid w:val="007B19D0"/>
    <w:rsid w:val="00853E69"/>
    <w:rsid w:val="0095263F"/>
    <w:rsid w:val="00A0367B"/>
    <w:rsid w:val="00A30711"/>
    <w:rsid w:val="00AB0536"/>
    <w:rsid w:val="00B7378C"/>
    <w:rsid w:val="00CF0B3A"/>
    <w:rsid w:val="019E71BD"/>
    <w:rsid w:val="01E93D58"/>
    <w:rsid w:val="046724C5"/>
    <w:rsid w:val="04B679C3"/>
    <w:rsid w:val="056B0F4A"/>
    <w:rsid w:val="05F07036"/>
    <w:rsid w:val="06E00104"/>
    <w:rsid w:val="07AF43D8"/>
    <w:rsid w:val="080F63D8"/>
    <w:rsid w:val="08595053"/>
    <w:rsid w:val="09341458"/>
    <w:rsid w:val="098254C2"/>
    <w:rsid w:val="0A766EDE"/>
    <w:rsid w:val="0AD64BE8"/>
    <w:rsid w:val="0B0912D7"/>
    <w:rsid w:val="0B093D05"/>
    <w:rsid w:val="0BB41243"/>
    <w:rsid w:val="0BC45EAD"/>
    <w:rsid w:val="0E004517"/>
    <w:rsid w:val="0E025194"/>
    <w:rsid w:val="0EEF0855"/>
    <w:rsid w:val="0EF30EAB"/>
    <w:rsid w:val="10947ED3"/>
    <w:rsid w:val="11DB7C71"/>
    <w:rsid w:val="127D1EEE"/>
    <w:rsid w:val="152D2DCA"/>
    <w:rsid w:val="155D7127"/>
    <w:rsid w:val="158C5C66"/>
    <w:rsid w:val="162922B6"/>
    <w:rsid w:val="17F64CA1"/>
    <w:rsid w:val="187168EA"/>
    <w:rsid w:val="196673CA"/>
    <w:rsid w:val="1B5C1C2F"/>
    <w:rsid w:val="1B8C420F"/>
    <w:rsid w:val="1BD54987"/>
    <w:rsid w:val="1BEB27DD"/>
    <w:rsid w:val="1CF734C9"/>
    <w:rsid w:val="1DEC284C"/>
    <w:rsid w:val="1E6523AC"/>
    <w:rsid w:val="2210235B"/>
    <w:rsid w:val="22440422"/>
    <w:rsid w:val="22BB4BBB"/>
    <w:rsid w:val="23086F12"/>
    <w:rsid w:val="243E636B"/>
    <w:rsid w:val="246C2851"/>
    <w:rsid w:val="25EB1AF4"/>
    <w:rsid w:val="26580D61"/>
    <w:rsid w:val="268D6C84"/>
    <w:rsid w:val="27194CB2"/>
    <w:rsid w:val="292B32C7"/>
    <w:rsid w:val="2B9D3E9D"/>
    <w:rsid w:val="2D002507"/>
    <w:rsid w:val="2DD05FE1"/>
    <w:rsid w:val="2E2547C1"/>
    <w:rsid w:val="2EAE3447"/>
    <w:rsid w:val="2F570E62"/>
    <w:rsid w:val="31A15F24"/>
    <w:rsid w:val="31FE0694"/>
    <w:rsid w:val="32171FB4"/>
    <w:rsid w:val="33C8766C"/>
    <w:rsid w:val="36FB1DF0"/>
    <w:rsid w:val="395347B5"/>
    <w:rsid w:val="39A232A0"/>
    <w:rsid w:val="39E745AA"/>
    <w:rsid w:val="3A2A4F7A"/>
    <w:rsid w:val="3B073FDF"/>
    <w:rsid w:val="3B5A6BBB"/>
    <w:rsid w:val="3CA154E3"/>
    <w:rsid w:val="3DEE6B14"/>
    <w:rsid w:val="3EDA13A6"/>
    <w:rsid w:val="3FCC4EA6"/>
    <w:rsid w:val="3FF56C14"/>
    <w:rsid w:val="417B75E9"/>
    <w:rsid w:val="42430A63"/>
    <w:rsid w:val="42661D33"/>
    <w:rsid w:val="42F058B7"/>
    <w:rsid w:val="436109F6"/>
    <w:rsid w:val="43EE4803"/>
    <w:rsid w:val="441A38D4"/>
    <w:rsid w:val="44232DDB"/>
    <w:rsid w:val="4504239D"/>
    <w:rsid w:val="460A5C60"/>
    <w:rsid w:val="4BC77339"/>
    <w:rsid w:val="4BE035EA"/>
    <w:rsid w:val="4C9236C5"/>
    <w:rsid w:val="4D4579D2"/>
    <w:rsid w:val="4DBC148D"/>
    <w:rsid w:val="4E250A85"/>
    <w:rsid w:val="4FA93450"/>
    <w:rsid w:val="4FFD4925"/>
    <w:rsid w:val="501E5A35"/>
    <w:rsid w:val="505C172E"/>
    <w:rsid w:val="506405EA"/>
    <w:rsid w:val="50B67110"/>
    <w:rsid w:val="52F46F0B"/>
    <w:rsid w:val="532B6A10"/>
    <w:rsid w:val="535F776F"/>
    <w:rsid w:val="539E4E99"/>
    <w:rsid w:val="53CF7FE0"/>
    <w:rsid w:val="53D8014D"/>
    <w:rsid w:val="54164280"/>
    <w:rsid w:val="541C4CA9"/>
    <w:rsid w:val="54343DAC"/>
    <w:rsid w:val="550C209A"/>
    <w:rsid w:val="55C54098"/>
    <w:rsid w:val="55E064E0"/>
    <w:rsid w:val="572C6D10"/>
    <w:rsid w:val="5A254EF1"/>
    <w:rsid w:val="5BCB73A7"/>
    <w:rsid w:val="5D48796A"/>
    <w:rsid w:val="5DB858CE"/>
    <w:rsid w:val="5DC34279"/>
    <w:rsid w:val="5EFB0640"/>
    <w:rsid w:val="5F924C81"/>
    <w:rsid w:val="5FCD688E"/>
    <w:rsid w:val="5FF9BDAA"/>
    <w:rsid w:val="5FFF0B5C"/>
    <w:rsid w:val="608816D1"/>
    <w:rsid w:val="60EF4E7F"/>
    <w:rsid w:val="617D727E"/>
    <w:rsid w:val="61BB42C0"/>
    <w:rsid w:val="634E16F7"/>
    <w:rsid w:val="63C4043C"/>
    <w:rsid w:val="63C93555"/>
    <w:rsid w:val="648B0A32"/>
    <w:rsid w:val="64EF2799"/>
    <w:rsid w:val="658F6764"/>
    <w:rsid w:val="65CE383E"/>
    <w:rsid w:val="65F515B0"/>
    <w:rsid w:val="665233C1"/>
    <w:rsid w:val="69AC0D42"/>
    <w:rsid w:val="6AD9688B"/>
    <w:rsid w:val="6B68303F"/>
    <w:rsid w:val="6D0E3F22"/>
    <w:rsid w:val="6E306D57"/>
    <w:rsid w:val="6F840F42"/>
    <w:rsid w:val="7351733F"/>
    <w:rsid w:val="744E4660"/>
    <w:rsid w:val="753355A2"/>
    <w:rsid w:val="759F1C61"/>
    <w:rsid w:val="769F2DE8"/>
    <w:rsid w:val="76FDEB7C"/>
    <w:rsid w:val="787D213D"/>
    <w:rsid w:val="79C65162"/>
    <w:rsid w:val="79EE7E31"/>
    <w:rsid w:val="7AB42D7D"/>
    <w:rsid w:val="7ABC2F89"/>
    <w:rsid w:val="7C9000FA"/>
    <w:rsid w:val="7C9011D9"/>
    <w:rsid w:val="7CD51896"/>
    <w:rsid w:val="7DC651C5"/>
    <w:rsid w:val="7FCC2834"/>
    <w:rsid w:val="7FFBE086"/>
    <w:rsid w:val="92DD1CEF"/>
    <w:rsid w:val="BD9D1569"/>
    <w:rsid w:val="BDEF4011"/>
    <w:rsid w:val="EBDDA9D0"/>
    <w:rsid w:val="F05B4F69"/>
    <w:rsid w:val="F7EFD3DD"/>
    <w:rsid w:val="F7F902F6"/>
    <w:rsid w:val="F97D9566"/>
    <w:rsid w:val="FDFF411C"/>
    <w:rsid w:val="FF7CC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18"/>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2"/>
      <w:lang w:val="en-US" w:eastAsia="zh-CN" w:bidi="ar"/>
    </w:rPr>
  </w:style>
  <w:style w:type="paragraph" w:styleId="6">
    <w:name w:val="Body Text Indent"/>
    <w:basedOn w:val="1"/>
    <w:unhideWhenUsed/>
    <w:qFormat/>
    <w:uiPriority w:val="99"/>
    <w:pPr>
      <w:spacing w:after="120"/>
      <w:ind w:left="420" w:leftChars="200"/>
    </w:pPr>
  </w:style>
  <w:style w:type="paragraph" w:styleId="7">
    <w:name w:val="Balloon Text"/>
    <w:basedOn w:val="1"/>
    <w:link w:val="19"/>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link w:val="20"/>
    <w:qFormat/>
    <w:uiPriority w:val="0"/>
    <w:pPr>
      <w:keepNext w:val="0"/>
      <w:keepLines w:val="0"/>
      <w:widowControl w:val="0"/>
      <w:suppressLineNumbers w:val="0"/>
      <w:spacing w:before="240" w:beforeAutospacing="0" w:after="60" w:afterAutospacing="0"/>
      <w:ind w:left="0" w:right="0"/>
      <w:jc w:val="center"/>
      <w:outlineLvl w:val="0"/>
    </w:pPr>
    <w:rPr>
      <w:rFonts w:hint="eastAsia" w:ascii="等线 Light" w:hAnsi="等线 Light" w:eastAsia="等线 Light" w:cs="Times New Roman"/>
      <w:b/>
      <w:bCs/>
      <w:kern w:val="2"/>
      <w:sz w:val="32"/>
      <w:szCs w:val="32"/>
      <w:lang w:val="en-US" w:eastAsia="zh-CN" w:bidi="ar"/>
    </w:rPr>
  </w:style>
  <w:style w:type="paragraph" w:styleId="12">
    <w:name w:val="Body Text First Indent 2"/>
    <w:basedOn w:val="6"/>
    <w:next w:val="1"/>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默认"/>
    <w:qFormat/>
    <w:uiPriority w:val="0"/>
    <w:rPr>
      <w:rFonts w:hint="eastAsia" w:ascii="Wonder Arial" w:hAnsi="Wonder Arial" w:eastAsia="Sweetie" w:cs="Wonder Arial"/>
      <w:color w:val="000000"/>
      <w:sz w:val="22"/>
      <w:szCs w:val="22"/>
      <w:u w:val="none" w:color="000000"/>
      <w:lang w:val="zh-CN" w:eastAsia="zh-CN" w:bidi="ar-SA"/>
    </w:rPr>
  </w:style>
  <w:style w:type="character" w:customStyle="1" w:styleId="18">
    <w:name w:val="正文文本 Char"/>
    <w:basedOn w:val="14"/>
    <w:link w:val="5"/>
    <w:qFormat/>
    <w:uiPriority w:val="0"/>
    <w:rPr>
      <w:kern w:val="2"/>
      <w:sz w:val="21"/>
      <w:szCs w:val="22"/>
    </w:rPr>
  </w:style>
  <w:style w:type="character" w:customStyle="1" w:styleId="19">
    <w:name w:val="批注框文本 Char"/>
    <w:basedOn w:val="14"/>
    <w:link w:val="7"/>
    <w:qFormat/>
    <w:uiPriority w:val="0"/>
    <w:rPr>
      <w:rFonts w:ascii="Calibri" w:hAnsi="Calibri" w:eastAsia="宋体" w:cs="Times New Roman"/>
      <w:kern w:val="2"/>
      <w:sz w:val="18"/>
      <w:szCs w:val="18"/>
    </w:rPr>
  </w:style>
  <w:style w:type="character" w:customStyle="1" w:styleId="20">
    <w:name w:val="标题 字符"/>
    <w:basedOn w:val="14"/>
    <w:link w:val="11"/>
    <w:qFormat/>
    <w:uiPriority w:val="0"/>
    <w:rPr>
      <w:rFonts w:hint="eastAsia" w:ascii="等线 Light" w:hAnsi="等线 Light" w:eastAsia="等线 Light" w:cs="Times New Roman"/>
      <w:b/>
      <w:bCs/>
      <w:kern w:val="2"/>
      <w:sz w:val="32"/>
      <w:szCs w:val="32"/>
    </w:rPr>
  </w:style>
  <w:style w:type="paragraph" w:customStyle="1" w:styleId="21">
    <w:name w:val="p0"/>
    <w:basedOn w:val="1"/>
    <w:qFormat/>
    <w:uiPriority w:val="0"/>
    <w:pPr>
      <w:widowControl/>
    </w:pPr>
    <w:rPr>
      <w:rFonts w:ascii="Calibri" w:hAnsi="Calibri" w:eastAsia="宋体" w:cs="宋体"/>
      <w:kern w:val="0"/>
      <w:szCs w:val="32"/>
    </w:rPr>
  </w:style>
  <w:style w:type="paragraph" w:customStyle="1" w:styleId="22">
    <w:name w:val="修订1"/>
    <w:unhideWhenUsed/>
    <w:qFormat/>
    <w:uiPriority w:val="99"/>
    <w:rPr>
      <w:rFonts w:ascii="Calibri" w:hAnsi="Calibri" w:eastAsia="宋体" w:cs="Times New Roman"/>
      <w:kern w:val="2"/>
      <w:sz w:val="21"/>
      <w:szCs w:val="24"/>
      <w:lang w:val="en-US" w:eastAsia="zh-CN" w:bidi="ar-SA"/>
    </w:rPr>
  </w:style>
  <w:style w:type="character" w:customStyle="1" w:styleId="23">
    <w:name w:val="15"/>
    <w:qFormat/>
    <w:uiPriority w:val="0"/>
    <w:rPr>
      <w:rFonts w:hint="default" w:ascii="方正报宋_GBK" w:hAnsi="方正报宋_GBK"/>
      <w:color w:val="000000"/>
      <w:sz w:val="24"/>
      <w:szCs w:val="24"/>
    </w:rPr>
  </w:style>
  <w:style w:type="paragraph" w:customStyle="1" w:styleId="24">
    <w:name w:val="正文首行缩进 21"/>
    <w:basedOn w:val="6"/>
    <w:qFormat/>
    <w:uiPriority w:val="0"/>
    <w:pPr>
      <w:spacing w:before="100" w:beforeAutospacing="1"/>
      <w:ind w:left="0" w:leftChars="0" w:firstLine="880" w:firstLineChars="200"/>
    </w:pPr>
    <w:rPr>
      <w:rFonts w:ascii="Times New Roman" w:hAnsi="Times New Roman"/>
      <w:szCs w:val="21"/>
    </w:rPr>
  </w:style>
  <w:style w:type="character" w:customStyle="1" w:styleId="25">
    <w:name w:val="批注框文本 字符"/>
    <w:semiHidden/>
    <w:qFormat/>
    <w:uiPriority w:val="99"/>
    <w:rPr>
      <w:kern w:val="2"/>
      <w:sz w:val="18"/>
      <w:szCs w:val="18"/>
    </w:rPr>
  </w:style>
  <w:style w:type="paragraph" w:customStyle="1" w:styleId="26">
    <w:name w:val="Default"/>
    <w:qFormat/>
    <w:uiPriority w:val="0"/>
    <w:pPr>
      <w:widowControl w:val="0"/>
      <w:autoSpaceDE w:val="0"/>
      <w:autoSpaceDN w:val="0"/>
      <w:adjustRightInd w:val="0"/>
    </w:pPr>
    <w:rPr>
      <w:rFonts w:ascii="方正仿宋_GB2312" w:hAnsi="Times New Roman" w:eastAsia="方正仿宋_GB2312" w:cs="方正仿宋_GB2312"/>
      <w:color w:val="000000"/>
      <w:sz w:val="24"/>
      <w:szCs w:val="24"/>
      <w:lang w:val="en-US" w:eastAsia="zh-CN" w:bidi="ar-SA"/>
    </w:rPr>
  </w:style>
  <w:style w:type="character" w:customStyle="1" w:styleId="27">
    <w:name w:val="正文文本 字符"/>
    <w:basedOn w:val="14"/>
    <w:qFormat/>
    <w:uiPriority w:val="0"/>
    <w:rPr>
      <w:kern w:val="2"/>
      <w:sz w:val="21"/>
      <w:szCs w:val="22"/>
    </w:rPr>
  </w:style>
  <w:style w:type="paragraph" w:customStyle="1" w:styleId="28">
    <w:name w:val="_Style 3"/>
    <w:basedOn w:val="1"/>
    <w:qFormat/>
    <w:uiPriority w:val="34"/>
    <w:pPr>
      <w:ind w:firstLine="420" w:firstLineChars="200"/>
    </w:pPr>
  </w:style>
  <w:style w:type="character" w:customStyle="1" w:styleId="29">
    <w:name w:val="font41"/>
    <w:qFormat/>
    <w:uiPriority w:val="0"/>
    <w:rPr>
      <w:rFonts w:ascii="方正仿宋_GBK" w:hAnsi="方正仿宋_GBK" w:eastAsia="方正仿宋_GBK" w:cs="方正仿宋_GBK"/>
      <w:color w:val="000000"/>
      <w:sz w:val="20"/>
      <w:szCs w:val="20"/>
      <w:u w:val="none"/>
    </w:rPr>
  </w:style>
  <w:style w:type="character" w:customStyle="1" w:styleId="30">
    <w:name w:val="font21"/>
    <w:qFormat/>
    <w:uiPriority w:val="0"/>
    <w:rPr>
      <w:rFonts w:hint="default" w:ascii="Times New Roman" w:hAnsi="Times New Roman" w:cs="Times New Roman"/>
      <w:color w:val="000000"/>
      <w:sz w:val="20"/>
      <w:szCs w:val="20"/>
      <w:u w:val="none"/>
    </w:rPr>
  </w:style>
  <w:style w:type="paragraph" w:customStyle="1" w:styleId="31">
    <w:name w:val="Body text|1"/>
    <w:basedOn w:val="1"/>
    <w:qFormat/>
    <w:uiPriority w:val="0"/>
    <w:pPr>
      <w:spacing w:line="403" w:lineRule="auto"/>
      <w:ind w:firstLine="400"/>
      <w:jc w:val="left"/>
    </w:pPr>
    <w:rPr>
      <w:rFonts w:hint="eastAsia" w:ascii="宋体" w:hAnsi="宋体"/>
      <w:color w:val="000000"/>
      <w:kern w:val="0"/>
      <w:sz w:val="30"/>
      <w:szCs w:val="30"/>
    </w:rPr>
  </w:style>
  <w:style w:type="paragraph" w:customStyle="1" w:styleId="32">
    <w:name w:val="标书正文1"/>
    <w:basedOn w:val="1"/>
    <w:qFormat/>
    <w:uiPriority w:val="0"/>
    <w:pPr>
      <w:spacing w:line="520" w:lineRule="exact"/>
      <w:ind w:firstLine="64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3993</Words>
  <Characters>4052</Characters>
  <Lines>33</Lines>
  <Paragraphs>9</Paragraphs>
  <TotalTime>1</TotalTime>
  <ScaleCrop>false</ScaleCrop>
  <LinksUpToDate>false</LinksUpToDate>
  <CharactersWithSpaces>4069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2024-04-23T23:09:00Z</dcterms:created>
  <dc:creator>t</dc:creator>
  <cp:lastModifiedBy>雪城</cp:lastModifiedBy>
  <cp:lastPrinted>2024-04-23T23:07:00Z</cp:lastPrinted>
  <dcterms:modified xsi:type="dcterms:W3CDTF">2026-06-18T10:16:25Z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9784EE5B5C254F2C9424DFD0C9BE1085_13</vt:lpwstr>
  </property>
  <property fmtid="{D5CDD505-2E9C-101B-9397-08002B2CF9AE}" pid="4" name="KSOTemplateDocerSaveRecord">
    <vt:lpwstr>eyJoZGlkIjoiM2NlNTYyZGY0OGRjNmQ0NTNlMzJmNWJmOWQyOTY4NjciLCJ1c2VySWQiOiIzMTE3OTk3ODEifQ==</vt:lpwstr>
  </property>
</Properties>
</file>