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t>关于印发重庆市城镇小区配套幼儿园治理工作实施方案的通知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iCs w:val="0"/>
          <w:caps w:val="0"/>
          <w:color w:val="000000"/>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渝府办发〔2019〕39号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《重庆市城镇小区配套幼儿园治理工作实施方案》已经市政府同意，现印发给你们，请认真贯彻执行。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重庆市人民政府办公厅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 w:hAnsi="����" w:eastAsia="����" w:cs="����"/>
          <w:i w:val="0"/>
          <w:iCs w:val="0"/>
          <w:caps w:val="0"/>
          <w:color w:val="000000"/>
          <w:spacing w:val="0"/>
          <w:sz w:val="24"/>
          <w:szCs w:val="24"/>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000000"/>
          <w:spacing w:val="0"/>
          <w:sz w:val="32"/>
          <w:szCs w:val="32"/>
          <w:shd w:val="clear" w:fill="FFFFFF"/>
        </w:rPr>
        <w:t>2019年4月4日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1260" w:firstLine="0"/>
        <w:jc w:val="right"/>
        <w:textAlignment w:val="auto"/>
        <w:rPr>
          <w:rFonts w:hint="default" w:ascii="����" w:hAnsi="����" w:eastAsia="����" w:cs="����"/>
          <w:i w:val="0"/>
          <w:iCs w:val="0"/>
          <w:caps w:val="0"/>
          <w:color w:val="000000"/>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default"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 w:hAnsi="����" w:eastAsia="����" w:cs="����"/>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宋体" w:hAnsi="宋体" w:eastAsia="宋体" w:cs="宋体"/>
          <w:i w:val="0"/>
          <w:iCs w:val="0"/>
          <w:caps w:val="0"/>
          <w:color w:val="000000"/>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宋体" w:hAnsi="宋体" w:eastAsia="宋体" w:cs="宋体"/>
          <w:i w:val="0"/>
          <w:iCs w:val="0"/>
          <w:caps w:val="0"/>
          <w:color w:val="000000"/>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宋体" w:hAnsi="宋体" w:eastAsia="宋体" w:cs="宋体"/>
          <w:i w:val="0"/>
          <w:iCs w:val="0"/>
          <w:caps w:val="0"/>
          <w:color w:val="000000"/>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宋体" w:hAnsi="宋体" w:eastAsia="宋体" w:cs="宋体"/>
          <w:i w:val="0"/>
          <w:iCs w:val="0"/>
          <w:caps w:val="0"/>
          <w:color w:val="000000"/>
          <w:spacing w:val="0"/>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6"/>
          <w:rFonts w:hint="eastAsia" w:ascii="方正小标宋_GBK" w:hAnsi="方正小标宋_GBK" w:eastAsia="方正小标宋_GBK" w:cs="方正小标宋_GBK"/>
          <w:b w:val="0"/>
          <w:bCs/>
          <w:i w:val="0"/>
          <w:iCs w:val="0"/>
          <w:caps w:val="0"/>
          <w:color w:val="000000"/>
          <w:spacing w:val="0"/>
          <w:sz w:val="44"/>
          <w:szCs w:val="44"/>
          <w:shd w:val="clear" w:fill="FFFFFF"/>
        </w:rPr>
        <w:t>重庆市城镇小区配套幼儿园治理工作实施方案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 w:hAnsi="����" w:eastAsia="����" w:cs="����"/>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贯彻落实《中共中央国务院关于学前教育深化改革规范发展的若干意见》和《国务院办公厅关于开展城镇小区配套幼儿园治理工作的通知》（国办发〔2019〕3号）精神，做好城镇小区配套幼儿园治理工作，制定本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以习近平新时代中国特色社会主义思想为指导，深入贯彻落实党的十九大和十九届二中、三中全会精神，全面贯彻落实习近平总书记在全国教育大会上的重要讲话精神以及对重庆提出的“两点”定位、“两地”“两高”目标和营造良好政治生态、做到“四个扎实”的重要指示要求，坚持以人民为中心的发展思想，认真履行政府责任，依法落实城镇公共服务设施建设规定，着力构建以普惠性资源为主体的学前教育公共服务体系，聚焦小区配套幼儿园规划、建设、移交、办园等环节存在的突出问题开展治理，进一步提高学前教育公益普惠水平，切实办好学前教育，满足人民群众对幼有所育的期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shd w:val="clear" w:fill="FFFFFF"/>
        </w:rPr>
        <w:t>二、工作任务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城镇小区严格依标配建幼儿园。严格按照《中华人民共和国城乡规划法》《城市居住区规划设计标准》（GB50180）和《重庆市城乡公共服务设施规划标准》（DB50/T）规定，在老城区（含棚户区）改造、新城开发和居住区建设、易地扶贫搬迁中应将配套幼儿园纳入公共管理和公共服务设施建设规划，并按照相关标准和规范予以建设。规划自然资源部门要将幼儿园专项规划纳入控制性详细规划，规划好与小区居住人口规模相适应的配套幼儿园，在拟供应地块规划条件中明确城镇小区配建幼儿园建设要求，并在土地供应前将城镇小区配套幼儿园的供地方式、用地面积、建设规模及标准、建设责任主体、建设时序、住宅项目预售条件、移交义务以及产权归属教育行政部门等事项在供地方案中予以明确，将上述内容载入土地出让合同或划拨决定书中。对无偿移交给政府的小区配套幼儿园，其建筑面积不纳入拟供应地块的容积率核算。城镇小区没有规划配套幼儿园或规划不足，或有完整规划但建设不到位的，依据国家和地方配建标准，通过补建、改建或就近新建、置换、购置等方式予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确保小区配套幼儿园如期建成并及时移交。市、区县（自治县，以下简称区县）形成合力抓好落实，市级有关部门负责指导、督促各区县政府与建设主体妥善解决城镇小区配套幼儿园规划建设中存在的问题。区县政府要及时编制小区配套幼儿园建设三年滚动计划和年度建设计划，规划自然资源部门、住房城乡建设部门指导城镇小区配套幼儿园建设业主，严格按土地出让合同或划拨决定书约定的时间同步规划、同步建设、同步移交使用。对存在配套幼儿园缓建、缩建、停建、不建和建而不交等问题的，在整改到位之前，不得办理竣工验收。城镇小区配套幼儿园建成后要及时移交投用，区县规划自然资源部门会同住房城乡建设部门负责督促城镇小区配套幼儿园按《重庆市主城区义务教育学校和幼儿园规划用地建设管理暂行办法》（渝府办发〔2017〕174号）要求，在竣工验收后3个月内无偿移交给当地教育行政部门。未移交当地教育行政部门的应限期完成移交，对已挪作他用的要采取有效措施予以收回。有关部门要按规定对移交的幼儿园办理土地、园舍移交及资产登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规范小区配套幼儿园使用。城镇小区配套幼儿园不得办成营利性幼儿园，配套幼儿园移交当地教育行政部门后，应当统筹设置为公办幼儿园或以园舍“零租金”面向社会公开招标举办成普惠性民办幼儿园。渝府办发〔2017〕174号文件施行前，土地出让合同未约定须无偿移交教育行政部门的在建和已建成的小区配套幼儿园，区县政府可采用回收、回购等方式收回。由国有企业建设的小区配套幼儿园应当无偿移交给当地教育行政部门。由民营企业建设的小区配套幼儿园，各区县政府可予以回购，具体回购价格可参考审计（评估）机构出具的土地取得成本和建设（装修）成本审计（评估）结果。鼓励项目建设业主在幼儿园竣工验收合格后无偿移交所在区县教育行政部门，其建筑规模对应已缴纳的土地价款，可由规划自然资源部门在住宅项目后期修订土地出让合同时在应补缴的土地价款中予以抵扣。办成公办幼儿园的，区县政府及有关部门要做好机构编制、教师配备等方面的工作；委托办成普惠性民办幼儿园的，要做好对相关机构资质、管理能力、卫生安全及保教质量等方面的审核，明确补助标准，加强对普惠实效及质量方面的动态监管。幼儿园收费实行公示制度，接受社会监督。发展改革部门要按照国家和我市有关规定会同财政、教育行政部门制定公办幼儿园收费标准；在审核民办幼儿园教育成本合理性、真实性基础上对其收费标准予以备案。幼儿园教学及生活用水、用电、用气价格执行居民类用水、用电、用气价格；有物业管理的幼儿园，物业管理费按照该区域内普通住宅物业服务收费标准收取。市场监管部门要会同教育行政部门加大对幼儿园违规收费或强制服务等违法行为的查处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shd w:val="clear" w:fill="FFFFFF"/>
        </w:rPr>
        <w:t>三、工作措施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摸底排查。各区县政府组织对城镇小区配套幼儿园情况进行全面摸底排查，认真制定针对性治理工作方案。针对规划、配建、移交、使用不到位等情况，分别列出清单、建立台账，认真梳理并填报《重庆市城镇小区配套幼儿园基本情况统计表》（见附件）。要明确每一所幼儿园存在的具体问题，并就规划、建设、移交、使用等基本情况、存在问题和整改措施形成文字材料，与治理工作方案、统计表一并于2019年4月12日前报送市城镇小区配套幼儿园治理工作联合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全面整改。各区县政府针对摸底排查出的问题，从实际出发，制定有针对性的整改措施，按照“一事一议”“一园一案”的要求逐一进行整改。对已经建成、需要办理移交手续的，原则上于2019年6月底前完成；对需要回收、置换、购置的，原则上于2019年9月底前完成；对需要补建、改建、新建的，原则上于2019年12月底前完成相关建设规划，2020年12月底前完成项目竣工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监督评估。各区县要严格按照要求的时间节点完成任务。市政府有关部门要分时段对各区县自查、摸排、整改等环节加强督导、监督和评估，将任务完成情况纳入市政府督查范围，并针对关键环节适时进行抽查，对落实不力、整改不到位的区县进行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Style w:val="6"/>
          <w:rFonts w:hint="eastAsia" w:ascii="方正仿宋_GBK" w:hAnsi="方正仿宋_GBK" w:eastAsia="方正仿宋_GBK" w:cs="方正仿宋_GBK"/>
          <w:i w:val="0"/>
          <w:iCs w:val="0"/>
          <w:caps w:val="0"/>
          <w:color w:val="000000"/>
          <w:spacing w:val="0"/>
          <w:sz w:val="32"/>
          <w:szCs w:val="32"/>
          <w:shd w:val="clear" w:fill="FFFFFF"/>
        </w:rPr>
        <w:t>四、组织措施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（一）建立协调机制。成立市城镇小区配套幼儿园治理工作</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w:t>
      </w:r>
      <w:r>
        <w:rPr>
          <w:rFonts w:hint="eastAsia" w:ascii="方正仿宋_GBK" w:hAnsi="方正仿宋_GBK" w:eastAsia="方正仿宋_GBK" w:cs="方正仿宋_GBK"/>
          <w:i w:val="0"/>
          <w:iCs w:val="0"/>
          <w:caps w:val="0"/>
          <w:color w:val="000000"/>
          <w:spacing w:val="0"/>
          <w:sz w:val="32"/>
          <w:szCs w:val="32"/>
          <w:shd w:val="clear" w:fill="FFFFFF"/>
        </w:rPr>
        <w:t>小组，负责统筹协调全市小区配套幼儿园治理工作，研究制定全市治理工作方案，指导督促各区县按期完成治理工作任务。市城镇小区配套幼儿园治理工作小组组长由市政府分管副秘书长担任，副组长由市教委、市规划自然资源局、市住房城乡建委主要负责人担任，成员由市委编办、市发展改革委、市公安局、市民政局、市财政局、重庆市税务局、市国资委等部门分管负责人组成。治理工作联合办公室设在市教委、市住房城乡建委。各区县政府是治理工作责任主体，要建立相应工作机制，由区县政府主要负责人负主责，加强治理工作协调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落实工作责任。市级有关部门要指导各区县政府按照城镇小区配套幼儿园规划、建设、移交、办园等各环节工作要求，明确各项工作的主要责任部门及配合部门，建立联审联管机制，扎实把摸底排查、全面整改等各项工作落到实处。教育行政部门要参与小区配套幼儿园规划、建设、验收、移交等各环节工作。发展改革部门要参与小区配套幼儿园建设项目规划布局，对需要补建、改建、新建的项目按程序及时办理审批、核准或备案手续。规划自然资源部门负责将小区配套幼儿园必要建设用地及时纳入国土空间规划，按规定划拨建设用地，并会同住房城乡建设部门加强建设和移交过程中的监管。住房城乡建设部门要加强对城镇小区配套幼儿园的建筑设计、施工建设、竣工验收的监管。机构编制部门负责按程序做好城镇小区配套幼儿园移交涉及的机构编制工作，根据办园性质，由机构编制部门或民政部门依法办理事业单位法人登记或民办非企业单位法人登记。国资部门负责指导、督促国有企业按时完成移交。税务部门负责落实城镇小区配套幼儿园建设、移交、回购相关税收优惠政策，依法征收税款。在治理工作中，需要其他相关部门支持配合的，各区县政府要加强统筹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加强工作保障。各区县政府要制定本行政区域治理工作方案，明确治理步骤，细化工作分工，落实部门责任，完善治理举措，确保治理工作如期完成。要加强社会监督，及时向社会公布治理工作方案、整改措施及治理结果。要畅通群众反映意见渠道，设立并公布监督举报电话和信箱。要健全部门工作联动、形势研判和应急反应机制，妥善处理突发事件，维护社会稳定。对在治理工作中发现的造成学前教育资源严重流失等失职渎职行为和违法违纪案件，要依法依规追究责任。要及时总结治理情况，制定完善小区配套幼儿园建设管理办法，形成规范管理的长效机制。区县治理工作方案、群众反映意见渠道以及摸底排查、整改等情况，要及时报送市城镇小区配套幼儿园治理工作联合办公室。</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附件：重庆市城镇小区配套幼儿园基本情况统计表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rPr>
      </w:pPr>
    </w:p>
    <w:p>
      <w:pPr>
        <w:rPr>
          <w:rFonts w:hint="eastAsia" w:eastAsia="方正黑体_GBK"/>
          <w:sz w:val="32"/>
          <w:szCs w:val="32"/>
        </w:rPr>
      </w:pPr>
      <w:r>
        <w:rPr>
          <w:rFonts w:hint="eastAsia" w:eastAsia="方正黑体_GBK"/>
          <w:sz w:val="32"/>
          <w:szCs w:val="32"/>
        </w:rPr>
        <w:t>附件</w:t>
      </w:r>
    </w:p>
    <w:p/>
    <w:p>
      <w:pPr>
        <w:jc w:val="center"/>
        <w:rPr>
          <w:rFonts w:hint="eastAsia" w:eastAsia="方正小标宋_GBK"/>
          <w:sz w:val="36"/>
          <w:szCs w:val="36"/>
        </w:rPr>
      </w:pPr>
      <w:r>
        <w:rPr>
          <w:rFonts w:hint="eastAsia" w:eastAsia="方正小标宋_GBK"/>
          <w:sz w:val="36"/>
          <w:szCs w:val="36"/>
        </w:rPr>
        <w:t>重庆市城镇小区配套幼儿园基本情况统计表</w:t>
      </w:r>
    </w:p>
    <w:p>
      <w:pPr>
        <w:rPr>
          <w:rFonts w:hint="eastAsia"/>
        </w:rPr>
      </w:pPr>
    </w:p>
    <w:p>
      <w:pPr>
        <w:snapToGrid w:val="0"/>
        <w:ind w:left="-210" w:leftChars="-100"/>
        <w:rPr>
          <w:rFonts w:hint="eastAsia" w:eastAsia="方正书宋_GBK"/>
          <w:sz w:val="21"/>
          <w:szCs w:val="21"/>
        </w:rPr>
      </w:pPr>
      <w:r>
        <w:rPr>
          <w:rFonts w:hint="eastAsia" w:eastAsia="方正书宋_GBK"/>
          <w:sz w:val="21"/>
          <w:szCs w:val="21"/>
        </w:rPr>
        <w:t xml:space="preserve">区县政府（盖章）： </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11"/>
        <w:gridCol w:w="758"/>
        <w:gridCol w:w="686"/>
        <w:gridCol w:w="588"/>
        <w:gridCol w:w="840"/>
        <w:gridCol w:w="840"/>
        <w:gridCol w:w="826"/>
        <w:gridCol w:w="798"/>
        <w:gridCol w:w="811"/>
        <w:gridCol w:w="798"/>
        <w:gridCol w:w="768"/>
        <w:gridCol w:w="738"/>
        <w:gridCol w:w="63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95" w:hRule="atLeast"/>
          <w:jc w:val="center"/>
        </w:trPr>
        <w:tc>
          <w:tcPr>
            <w:tcW w:w="311"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序</w:t>
            </w:r>
          </w:p>
          <w:p>
            <w:pPr>
              <w:jc w:val="center"/>
              <w:rPr>
                <w:rFonts w:hint="eastAsia" w:eastAsia="方正黑体_GBK"/>
                <w:sz w:val="21"/>
                <w:szCs w:val="21"/>
              </w:rPr>
            </w:pPr>
            <w:r>
              <w:rPr>
                <w:rFonts w:hint="eastAsia" w:eastAsia="方正黑体_GBK"/>
                <w:sz w:val="21"/>
                <w:szCs w:val="21"/>
              </w:rPr>
              <w:t>号</w:t>
            </w:r>
          </w:p>
        </w:tc>
        <w:tc>
          <w:tcPr>
            <w:tcW w:w="758"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社区</w:t>
            </w:r>
          </w:p>
          <w:p>
            <w:pPr>
              <w:jc w:val="center"/>
              <w:rPr>
                <w:rFonts w:hint="eastAsia" w:eastAsia="方正黑体_GBK"/>
                <w:sz w:val="21"/>
                <w:szCs w:val="21"/>
              </w:rPr>
            </w:pPr>
            <w:r>
              <w:rPr>
                <w:rFonts w:hint="eastAsia" w:eastAsia="方正黑体_GBK"/>
                <w:sz w:val="21"/>
                <w:szCs w:val="21"/>
              </w:rPr>
              <w:t>（小区）</w:t>
            </w:r>
          </w:p>
          <w:p>
            <w:pPr>
              <w:jc w:val="center"/>
              <w:rPr>
                <w:rFonts w:hint="eastAsia" w:eastAsia="方正黑体_GBK"/>
                <w:sz w:val="21"/>
                <w:szCs w:val="21"/>
              </w:rPr>
            </w:pPr>
            <w:r>
              <w:rPr>
                <w:rFonts w:hint="eastAsia" w:eastAsia="方正黑体_GBK"/>
                <w:sz w:val="21"/>
                <w:szCs w:val="21"/>
              </w:rPr>
              <w:t>名称</w:t>
            </w:r>
          </w:p>
        </w:tc>
        <w:tc>
          <w:tcPr>
            <w:tcW w:w="686"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幼儿园</w:t>
            </w:r>
          </w:p>
          <w:p>
            <w:pPr>
              <w:jc w:val="center"/>
              <w:rPr>
                <w:rFonts w:hint="eastAsia" w:eastAsia="方正黑体_GBK"/>
                <w:sz w:val="21"/>
                <w:szCs w:val="21"/>
              </w:rPr>
            </w:pPr>
            <w:r>
              <w:rPr>
                <w:rFonts w:hint="eastAsia" w:eastAsia="方正黑体_GBK"/>
                <w:sz w:val="21"/>
                <w:szCs w:val="21"/>
              </w:rPr>
              <w:t>名称</w:t>
            </w:r>
          </w:p>
        </w:tc>
        <w:tc>
          <w:tcPr>
            <w:tcW w:w="588"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办学</w:t>
            </w:r>
          </w:p>
          <w:p>
            <w:pPr>
              <w:jc w:val="center"/>
              <w:rPr>
                <w:rFonts w:hint="eastAsia" w:eastAsia="方正黑体_GBK"/>
                <w:sz w:val="21"/>
                <w:szCs w:val="21"/>
              </w:rPr>
            </w:pPr>
            <w:r>
              <w:rPr>
                <w:rFonts w:hint="eastAsia" w:eastAsia="方正黑体_GBK"/>
                <w:sz w:val="21"/>
                <w:szCs w:val="21"/>
              </w:rPr>
              <w:t>规模</w:t>
            </w:r>
          </w:p>
          <w:p>
            <w:pPr>
              <w:jc w:val="center"/>
              <w:rPr>
                <w:rFonts w:hint="eastAsia" w:eastAsia="方正黑体_GBK"/>
                <w:sz w:val="21"/>
                <w:szCs w:val="21"/>
              </w:rPr>
            </w:pPr>
            <w:r>
              <w:rPr>
                <w:rFonts w:hint="eastAsia" w:eastAsia="方正黑体_GBK"/>
                <w:sz w:val="21"/>
                <w:szCs w:val="21"/>
              </w:rPr>
              <w:t>（班）</w:t>
            </w:r>
          </w:p>
        </w:tc>
        <w:tc>
          <w:tcPr>
            <w:tcW w:w="5681" w:type="dxa"/>
            <w:gridSpan w:val="7"/>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存在的主要问题</w:t>
            </w:r>
          </w:p>
        </w:tc>
        <w:tc>
          <w:tcPr>
            <w:tcW w:w="738"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解决</w:t>
            </w:r>
          </w:p>
          <w:p>
            <w:pPr>
              <w:jc w:val="center"/>
              <w:rPr>
                <w:rFonts w:hint="eastAsia" w:eastAsia="方正黑体_GBK"/>
                <w:sz w:val="21"/>
                <w:szCs w:val="21"/>
              </w:rPr>
            </w:pPr>
            <w:r>
              <w:rPr>
                <w:rFonts w:hint="eastAsia" w:eastAsia="方正黑体_GBK"/>
                <w:sz w:val="21"/>
                <w:szCs w:val="21"/>
              </w:rPr>
              <w:t>措施</w:t>
            </w:r>
          </w:p>
        </w:tc>
        <w:tc>
          <w:tcPr>
            <w:tcW w:w="639" w:type="dxa"/>
            <w:vMerge w:val="restart"/>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0" w:hRule="atLeast"/>
          <w:jc w:val="center"/>
        </w:trPr>
        <w:tc>
          <w:tcPr>
            <w:tcW w:w="311" w:type="dxa"/>
            <w:vMerge w:val="continue"/>
            <w:noWrap w:val="0"/>
            <w:tcMar>
              <w:left w:w="0" w:type="dxa"/>
              <w:right w:w="0" w:type="dxa"/>
            </w:tcMar>
            <w:vAlign w:val="center"/>
          </w:tcPr>
          <w:p>
            <w:pPr>
              <w:jc w:val="center"/>
              <w:rPr>
                <w:rFonts w:hint="eastAsia" w:eastAsia="方正黑体_GBK"/>
                <w:sz w:val="21"/>
                <w:szCs w:val="21"/>
              </w:rPr>
            </w:pPr>
          </w:p>
        </w:tc>
        <w:tc>
          <w:tcPr>
            <w:tcW w:w="758" w:type="dxa"/>
            <w:vMerge w:val="continue"/>
            <w:noWrap w:val="0"/>
            <w:tcMar>
              <w:left w:w="0" w:type="dxa"/>
              <w:right w:w="0" w:type="dxa"/>
            </w:tcMar>
            <w:vAlign w:val="center"/>
          </w:tcPr>
          <w:p>
            <w:pPr>
              <w:jc w:val="center"/>
              <w:rPr>
                <w:rFonts w:hint="eastAsia" w:eastAsia="方正黑体_GBK"/>
                <w:sz w:val="21"/>
                <w:szCs w:val="21"/>
              </w:rPr>
            </w:pPr>
          </w:p>
        </w:tc>
        <w:tc>
          <w:tcPr>
            <w:tcW w:w="686" w:type="dxa"/>
            <w:vMerge w:val="continue"/>
            <w:noWrap w:val="0"/>
            <w:tcMar>
              <w:left w:w="0" w:type="dxa"/>
              <w:right w:w="0" w:type="dxa"/>
            </w:tcMar>
            <w:vAlign w:val="center"/>
          </w:tcPr>
          <w:p>
            <w:pPr>
              <w:jc w:val="center"/>
              <w:rPr>
                <w:rFonts w:hint="eastAsia" w:eastAsia="方正黑体_GBK"/>
                <w:sz w:val="21"/>
                <w:szCs w:val="21"/>
              </w:rPr>
            </w:pPr>
          </w:p>
        </w:tc>
        <w:tc>
          <w:tcPr>
            <w:tcW w:w="588" w:type="dxa"/>
            <w:vMerge w:val="continue"/>
            <w:noWrap w:val="0"/>
            <w:tcMar>
              <w:left w:w="0" w:type="dxa"/>
              <w:right w:w="0" w:type="dxa"/>
            </w:tcMar>
            <w:vAlign w:val="center"/>
          </w:tcPr>
          <w:p>
            <w:pPr>
              <w:jc w:val="center"/>
              <w:rPr>
                <w:rFonts w:hint="eastAsia" w:eastAsia="方正黑体_GBK"/>
                <w:sz w:val="21"/>
                <w:szCs w:val="21"/>
              </w:rPr>
            </w:pPr>
          </w:p>
        </w:tc>
        <w:tc>
          <w:tcPr>
            <w:tcW w:w="840"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规划</w:t>
            </w:r>
          </w:p>
          <w:p>
            <w:pPr>
              <w:jc w:val="center"/>
              <w:rPr>
                <w:rFonts w:hint="eastAsia" w:eastAsia="方正黑体_GBK"/>
                <w:sz w:val="21"/>
                <w:szCs w:val="21"/>
                <w:lang w:eastAsia="zh-CN"/>
              </w:rPr>
            </w:pPr>
            <w:r>
              <w:rPr>
                <w:rFonts w:hint="eastAsia" w:eastAsia="方正黑体_GBK"/>
                <w:sz w:val="21"/>
                <w:szCs w:val="21"/>
              </w:rPr>
              <w:t>不足</w:t>
            </w:r>
          </w:p>
          <w:p>
            <w:pPr>
              <w:jc w:val="center"/>
              <w:rPr>
                <w:rFonts w:hint="eastAsia" w:eastAsia="方正黑体_GBK"/>
                <w:sz w:val="21"/>
                <w:szCs w:val="21"/>
              </w:rPr>
            </w:pPr>
            <w:r>
              <w:rPr>
                <w:rFonts w:hint="eastAsia" w:eastAsia="方正黑体_GBK"/>
                <w:sz w:val="21"/>
                <w:szCs w:val="21"/>
              </w:rPr>
              <w:t>（是/否）</w:t>
            </w:r>
          </w:p>
        </w:tc>
        <w:tc>
          <w:tcPr>
            <w:tcW w:w="840"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建设</w:t>
            </w:r>
          </w:p>
          <w:p>
            <w:pPr>
              <w:jc w:val="center"/>
              <w:rPr>
                <w:rFonts w:hint="eastAsia" w:eastAsia="方正黑体_GBK"/>
                <w:sz w:val="21"/>
                <w:szCs w:val="21"/>
              </w:rPr>
            </w:pPr>
            <w:r>
              <w:rPr>
                <w:rFonts w:hint="eastAsia" w:eastAsia="方正黑体_GBK"/>
                <w:sz w:val="21"/>
                <w:szCs w:val="21"/>
              </w:rPr>
              <w:t>未达标</w:t>
            </w:r>
          </w:p>
          <w:p>
            <w:pPr>
              <w:jc w:val="center"/>
              <w:rPr>
                <w:rFonts w:hint="eastAsia" w:eastAsia="方正黑体_GBK"/>
                <w:sz w:val="21"/>
                <w:szCs w:val="21"/>
              </w:rPr>
            </w:pPr>
            <w:r>
              <w:rPr>
                <w:rFonts w:hint="eastAsia" w:eastAsia="方正黑体_GBK"/>
                <w:sz w:val="21"/>
                <w:szCs w:val="21"/>
              </w:rPr>
              <w:t>（是/否）</w:t>
            </w:r>
          </w:p>
        </w:tc>
        <w:tc>
          <w:tcPr>
            <w:tcW w:w="826"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建设</w:t>
            </w:r>
          </w:p>
          <w:p>
            <w:pPr>
              <w:jc w:val="center"/>
              <w:rPr>
                <w:rFonts w:hint="eastAsia" w:eastAsia="方正黑体_GBK"/>
                <w:sz w:val="21"/>
                <w:szCs w:val="21"/>
              </w:rPr>
            </w:pPr>
            <w:r>
              <w:rPr>
                <w:rFonts w:hint="eastAsia" w:eastAsia="方正黑体_GBK"/>
                <w:sz w:val="21"/>
                <w:szCs w:val="21"/>
              </w:rPr>
              <w:t>滞后</w:t>
            </w:r>
          </w:p>
          <w:p>
            <w:pPr>
              <w:jc w:val="center"/>
              <w:rPr>
                <w:rFonts w:hint="eastAsia" w:eastAsia="方正黑体_GBK"/>
                <w:sz w:val="21"/>
                <w:szCs w:val="21"/>
              </w:rPr>
            </w:pPr>
            <w:r>
              <w:rPr>
                <w:rFonts w:hint="eastAsia" w:eastAsia="方正黑体_GBK"/>
                <w:sz w:val="21"/>
                <w:szCs w:val="21"/>
              </w:rPr>
              <w:t>（是/否）</w:t>
            </w:r>
          </w:p>
        </w:tc>
        <w:tc>
          <w:tcPr>
            <w:tcW w:w="798"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产权</w:t>
            </w:r>
          </w:p>
          <w:p>
            <w:pPr>
              <w:jc w:val="center"/>
              <w:rPr>
                <w:rFonts w:hint="eastAsia" w:eastAsia="方正黑体_GBK"/>
                <w:sz w:val="21"/>
                <w:szCs w:val="21"/>
              </w:rPr>
            </w:pPr>
            <w:r>
              <w:rPr>
                <w:rFonts w:hint="eastAsia" w:eastAsia="方正黑体_GBK"/>
                <w:sz w:val="21"/>
                <w:szCs w:val="21"/>
              </w:rPr>
              <w:t>未移交</w:t>
            </w:r>
          </w:p>
          <w:p>
            <w:pPr>
              <w:jc w:val="center"/>
              <w:rPr>
                <w:rFonts w:hint="eastAsia" w:eastAsia="方正黑体_GBK"/>
                <w:sz w:val="21"/>
                <w:szCs w:val="21"/>
              </w:rPr>
            </w:pPr>
            <w:r>
              <w:rPr>
                <w:rFonts w:hint="eastAsia" w:eastAsia="方正黑体_GBK"/>
                <w:sz w:val="21"/>
                <w:szCs w:val="21"/>
              </w:rPr>
              <w:t>（是/否）</w:t>
            </w:r>
          </w:p>
        </w:tc>
        <w:tc>
          <w:tcPr>
            <w:tcW w:w="811"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改变</w:t>
            </w:r>
          </w:p>
          <w:p>
            <w:pPr>
              <w:jc w:val="center"/>
              <w:rPr>
                <w:rFonts w:hint="eastAsia" w:eastAsia="方正黑体_GBK"/>
                <w:sz w:val="21"/>
                <w:szCs w:val="21"/>
              </w:rPr>
            </w:pPr>
            <w:r>
              <w:rPr>
                <w:rFonts w:hint="eastAsia" w:eastAsia="方正黑体_GBK"/>
                <w:sz w:val="21"/>
                <w:szCs w:val="21"/>
              </w:rPr>
              <w:t>使用</w:t>
            </w:r>
          </w:p>
          <w:p>
            <w:pPr>
              <w:jc w:val="center"/>
              <w:rPr>
                <w:rFonts w:hint="eastAsia" w:eastAsia="方正黑体_GBK"/>
                <w:sz w:val="21"/>
                <w:szCs w:val="21"/>
              </w:rPr>
            </w:pPr>
            <w:r>
              <w:rPr>
                <w:rFonts w:hint="eastAsia" w:eastAsia="方正黑体_GBK"/>
                <w:sz w:val="21"/>
                <w:szCs w:val="21"/>
              </w:rPr>
              <w:t>功能</w:t>
            </w:r>
          </w:p>
          <w:p>
            <w:pPr>
              <w:jc w:val="center"/>
              <w:rPr>
                <w:rFonts w:hint="eastAsia" w:eastAsia="方正黑体_GBK"/>
                <w:sz w:val="21"/>
                <w:szCs w:val="21"/>
              </w:rPr>
            </w:pPr>
            <w:r>
              <w:rPr>
                <w:rFonts w:hint="eastAsia" w:eastAsia="方正黑体_GBK"/>
                <w:sz w:val="21"/>
                <w:szCs w:val="21"/>
              </w:rPr>
              <w:t>（是/否）</w:t>
            </w:r>
          </w:p>
        </w:tc>
        <w:tc>
          <w:tcPr>
            <w:tcW w:w="798"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非普惠</w:t>
            </w:r>
          </w:p>
          <w:p>
            <w:pPr>
              <w:jc w:val="center"/>
              <w:rPr>
                <w:rFonts w:hint="eastAsia" w:eastAsia="方正黑体_GBK"/>
                <w:sz w:val="21"/>
                <w:szCs w:val="21"/>
              </w:rPr>
            </w:pPr>
            <w:r>
              <w:rPr>
                <w:rFonts w:hint="eastAsia" w:eastAsia="方正黑体_GBK"/>
                <w:sz w:val="21"/>
                <w:szCs w:val="21"/>
              </w:rPr>
              <w:t>幼儿园</w:t>
            </w:r>
          </w:p>
          <w:p>
            <w:pPr>
              <w:jc w:val="center"/>
              <w:rPr>
                <w:rFonts w:hint="eastAsia" w:eastAsia="方正黑体_GBK"/>
                <w:sz w:val="21"/>
                <w:szCs w:val="21"/>
              </w:rPr>
            </w:pPr>
            <w:r>
              <w:rPr>
                <w:rFonts w:hint="eastAsia" w:eastAsia="方正黑体_GBK"/>
                <w:sz w:val="21"/>
                <w:szCs w:val="21"/>
              </w:rPr>
              <w:t>（是/否）</w:t>
            </w:r>
          </w:p>
        </w:tc>
        <w:tc>
          <w:tcPr>
            <w:tcW w:w="768" w:type="dxa"/>
            <w:noWrap w:val="0"/>
            <w:tcMar>
              <w:left w:w="0" w:type="dxa"/>
              <w:right w:w="0" w:type="dxa"/>
            </w:tcMar>
            <w:vAlign w:val="center"/>
          </w:tcPr>
          <w:p>
            <w:pPr>
              <w:jc w:val="center"/>
              <w:rPr>
                <w:rFonts w:hint="eastAsia" w:eastAsia="方正黑体_GBK"/>
                <w:sz w:val="21"/>
                <w:szCs w:val="21"/>
              </w:rPr>
            </w:pPr>
            <w:r>
              <w:rPr>
                <w:rFonts w:hint="eastAsia" w:eastAsia="方正黑体_GBK"/>
                <w:sz w:val="21"/>
                <w:szCs w:val="21"/>
              </w:rPr>
              <w:t>其他</w:t>
            </w:r>
          </w:p>
          <w:p>
            <w:pPr>
              <w:jc w:val="center"/>
              <w:rPr>
                <w:rFonts w:hint="eastAsia" w:eastAsia="方正黑体_GBK"/>
                <w:sz w:val="21"/>
                <w:szCs w:val="21"/>
              </w:rPr>
            </w:pPr>
            <w:r>
              <w:rPr>
                <w:rFonts w:hint="eastAsia" w:eastAsia="方正黑体_GBK"/>
                <w:sz w:val="21"/>
                <w:szCs w:val="21"/>
              </w:rPr>
              <w:t>问题</w:t>
            </w:r>
          </w:p>
        </w:tc>
        <w:tc>
          <w:tcPr>
            <w:tcW w:w="738" w:type="dxa"/>
            <w:vMerge w:val="continue"/>
            <w:noWrap w:val="0"/>
            <w:tcMar>
              <w:left w:w="0" w:type="dxa"/>
              <w:right w:w="0" w:type="dxa"/>
            </w:tcMar>
            <w:vAlign w:val="center"/>
          </w:tcPr>
          <w:p>
            <w:pPr>
              <w:jc w:val="center"/>
              <w:rPr>
                <w:rFonts w:hint="eastAsia" w:eastAsia="方正黑体_GBK"/>
                <w:sz w:val="21"/>
                <w:szCs w:val="21"/>
              </w:rPr>
            </w:pPr>
          </w:p>
        </w:tc>
        <w:tc>
          <w:tcPr>
            <w:tcW w:w="639" w:type="dxa"/>
            <w:vMerge w:val="continue"/>
            <w:noWrap w:val="0"/>
            <w:tcMar>
              <w:left w:w="0" w:type="dxa"/>
              <w:right w:w="0" w:type="dxa"/>
            </w:tcMar>
            <w:vAlign w:val="center"/>
          </w:tcPr>
          <w:p>
            <w:pPr>
              <w:jc w:val="center"/>
              <w:rPr>
                <w:rFonts w:hint="eastAsia" w:eastAsia="方正黑体_GBK"/>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95" w:hRule="atLeast"/>
          <w:jc w:val="center"/>
        </w:trPr>
        <w:tc>
          <w:tcPr>
            <w:tcW w:w="3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5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68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58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2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6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38" w:type="dxa"/>
            <w:shd w:val="clear" w:color="auto" w:fill="FFFFFF"/>
            <w:noWrap w:val="0"/>
            <w:tcMar>
              <w:left w:w="0" w:type="dxa"/>
              <w:right w:w="0" w:type="dxa"/>
            </w:tcMar>
            <w:vAlign w:val="center"/>
          </w:tcPr>
          <w:p>
            <w:pPr>
              <w:rPr>
                <w:rFonts w:hint="eastAsia" w:eastAsia="方正书宋_GBK"/>
                <w:sz w:val="21"/>
                <w:szCs w:val="21"/>
              </w:rPr>
            </w:pPr>
          </w:p>
        </w:tc>
        <w:tc>
          <w:tcPr>
            <w:tcW w:w="639"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95" w:hRule="atLeast"/>
          <w:jc w:val="center"/>
        </w:trPr>
        <w:tc>
          <w:tcPr>
            <w:tcW w:w="3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5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68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58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2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6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3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639"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95" w:hRule="atLeast"/>
          <w:jc w:val="center"/>
        </w:trPr>
        <w:tc>
          <w:tcPr>
            <w:tcW w:w="3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5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68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58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40"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26"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811"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9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6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738"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c>
          <w:tcPr>
            <w:tcW w:w="639" w:type="dxa"/>
            <w:shd w:val="clear" w:color="auto" w:fill="FFFFFF"/>
            <w:noWrap w:val="0"/>
            <w:tcMar>
              <w:left w:w="0" w:type="dxa"/>
              <w:right w:w="0" w:type="dxa"/>
            </w:tcMar>
            <w:vAlign w:val="center"/>
          </w:tcPr>
          <w:p>
            <w:pPr>
              <w:rPr>
                <w:rFonts w:hint="eastAsia" w:eastAsia="方正书宋_GBK"/>
                <w:sz w:val="21"/>
                <w:szCs w:val="21"/>
              </w:rPr>
            </w:pPr>
            <w:r>
              <w:rPr>
                <w:rFonts w:hint="eastAsia" w:eastAsia="方正书宋_GBK"/>
                <w:sz w:val="21"/>
                <w:szCs w:val="21"/>
              </w:rPr>
              <w:t>　</w:t>
            </w:r>
          </w:p>
        </w:tc>
      </w:tr>
    </w:tbl>
    <w:p>
      <w:pPr>
        <w:snapToGrid w:val="0"/>
        <w:ind w:left="-210" w:leftChars="-100"/>
        <w:rPr>
          <w:rFonts w:hint="eastAsia" w:eastAsia="方正书宋_GBK"/>
          <w:sz w:val="21"/>
          <w:szCs w:val="21"/>
        </w:rPr>
      </w:pPr>
      <w:r>
        <w:rPr>
          <w:rFonts w:hint="eastAsia" w:eastAsia="方正书宋_GBK"/>
          <w:sz w:val="21"/>
          <w:szCs w:val="21"/>
        </w:rPr>
        <w:t>联系人：陈庆；联系电话：63638636；邮箱：1908076451@qq.com</w:t>
      </w:r>
    </w:p>
    <w:p>
      <w:pPr>
        <w:snapToGrid w:val="0"/>
        <w:ind w:left="-210" w:leftChars="-100" w:right="-210" w:rightChars="-100"/>
        <w:rPr>
          <w:rFonts w:hint="eastAsia" w:eastAsia="方正书宋_GBK"/>
          <w:sz w:val="21"/>
          <w:szCs w:val="21"/>
        </w:rPr>
      </w:pPr>
      <w:r>
        <w:rPr>
          <w:rFonts w:hint="eastAsia" w:eastAsia="方正书宋_GBK"/>
          <w:sz w:val="21"/>
          <w:szCs w:val="21"/>
        </w:rPr>
        <w:t>填表人：      联系电话：                                           填表日期：2019年  月  日</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i w:val="0"/>
          <w:iCs w:val="0"/>
          <w:caps w:val="0"/>
          <w:color w:val="000000"/>
          <w:spacing w:val="0"/>
          <w:sz w:val="24"/>
          <w:szCs w:val="24"/>
          <w:shd w:val="clear" w:fill="FFFFFF"/>
          <w:lang w:eastAsia="zh-CN"/>
        </w:rPr>
      </w:pP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D6440"/>
    <w:rsid w:val="005D2AF1"/>
    <w:rsid w:val="010E3586"/>
    <w:rsid w:val="02427F19"/>
    <w:rsid w:val="027820C9"/>
    <w:rsid w:val="031E4995"/>
    <w:rsid w:val="03F851AA"/>
    <w:rsid w:val="07170C9F"/>
    <w:rsid w:val="08991299"/>
    <w:rsid w:val="08AD4D92"/>
    <w:rsid w:val="09172E20"/>
    <w:rsid w:val="0A47390D"/>
    <w:rsid w:val="0A6149CD"/>
    <w:rsid w:val="0BA131DB"/>
    <w:rsid w:val="0D0414D6"/>
    <w:rsid w:val="0DFA163A"/>
    <w:rsid w:val="0E452029"/>
    <w:rsid w:val="0E507CEE"/>
    <w:rsid w:val="0EE23A62"/>
    <w:rsid w:val="0F144E48"/>
    <w:rsid w:val="0F44607F"/>
    <w:rsid w:val="104252CE"/>
    <w:rsid w:val="106A5574"/>
    <w:rsid w:val="10A01509"/>
    <w:rsid w:val="117F0FCE"/>
    <w:rsid w:val="13C22F02"/>
    <w:rsid w:val="14876797"/>
    <w:rsid w:val="14967A3B"/>
    <w:rsid w:val="14B5061B"/>
    <w:rsid w:val="150F58CD"/>
    <w:rsid w:val="15321E35"/>
    <w:rsid w:val="15765333"/>
    <w:rsid w:val="157C7A63"/>
    <w:rsid w:val="167B24FC"/>
    <w:rsid w:val="16912434"/>
    <w:rsid w:val="17BF503C"/>
    <w:rsid w:val="182E3D6A"/>
    <w:rsid w:val="18721DBA"/>
    <w:rsid w:val="18753129"/>
    <w:rsid w:val="196D6A73"/>
    <w:rsid w:val="19937327"/>
    <w:rsid w:val="1A462DF4"/>
    <w:rsid w:val="1AD62967"/>
    <w:rsid w:val="1AED2148"/>
    <w:rsid w:val="1C3944FC"/>
    <w:rsid w:val="1DF874E4"/>
    <w:rsid w:val="1EC037B0"/>
    <w:rsid w:val="1F2517B8"/>
    <w:rsid w:val="1F3D31FE"/>
    <w:rsid w:val="1F3E5382"/>
    <w:rsid w:val="201A1E0E"/>
    <w:rsid w:val="20B67D24"/>
    <w:rsid w:val="20FA1D66"/>
    <w:rsid w:val="222F40DB"/>
    <w:rsid w:val="22AD6440"/>
    <w:rsid w:val="22CA4AE5"/>
    <w:rsid w:val="22DA4DEF"/>
    <w:rsid w:val="23674DB8"/>
    <w:rsid w:val="24362A4C"/>
    <w:rsid w:val="24387C72"/>
    <w:rsid w:val="24766710"/>
    <w:rsid w:val="257C1A3A"/>
    <w:rsid w:val="25B23F59"/>
    <w:rsid w:val="25BC1FA7"/>
    <w:rsid w:val="25CE3EA4"/>
    <w:rsid w:val="25EF035E"/>
    <w:rsid w:val="29406FE0"/>
    <w:rsid w:val="2A1F1CFF"/>
    <w:rsid w:val="2C4945FC"/>
    <w:rsid w:val="2CBE78AE"/>
    <w:rsid w:val="2E391134"/>
    <w:rsid w:val="2E502B75"/>
    <w:rsid w:val="2E6970DE"/>
    <w:rsid w:val="2F3B7172"/>
    <w:rsid w:val="2F8F06CE"/>
    <w:rsid w:val="2F9E7109"/>
    <w:rsid w:val="2FF01DE4"/>
    <w:rsid w:val="30352ACA"/>
    <w:rsid w:val="32115522"/>
    <w:rsid w:val="32B73C2C"/>
    <w:rsid w:val="32C22915"/>
    <w:rsid w:val="334830CB"/>
    <w:rsid w:val="344A3321"/>
    <w:rsid w:val="35455E96"/>
    <w:rsid w:val="35904661"/>
    <w:rsid w:val="35966340"/>
    <w:rsid w:val="360311CE"/>
    <w:rsid w:val="374F3584"/>
    <w:rsid w:val="37983093"/>
    <w:rsid w:val="3819488F"/>
    <w:rsid w:val="38692EAA"/>
    <w:rsid w:val="38F04993"/>
    <w:rsid w:val="399F3BE4"/>
    <w:rsid w:val="3A0F5517"/>
    <w:rsid w:val="3A5D13EE"/>
    <w:rsid w:val="3B1C057F"/>
    <w:rsid w:val="3B4A319F"/>
    <w:rsid w:val="3F211EF0"/>
    <w:rsid w:val="409013BA"/>
    <w:rsid w:val="40C24D7A"/>
    <w:rsid w:val="416545C7"/>
    <w:rsid w:val="43497374"/>
    <w:rsid w:val="435767D8"/>
    <w:rsid w:val="4508450F"/>
    <w:rsid w:val="450E43B8"/>
    <w:rsid w:val="4522415D"/>
    <w:rsid w:val="45575FBD"/>
    <w:rsid w:val="45D75ED2"/>
    <w:rsid w:val="46AA2098"/>
    <w:rsid w:val="46FB76EB"/>
    <w:rsid w:val="47BF5BDB"/>
    <w:rsid w:val="48014973"/>
    <w:rsid w:val="49396120"/>
    <w:rsid w:val="49735C56"/>
    <w:rsid w:val="49922BE8"/>
    <w:rsid w:val="49B35682"/>
    <w:rsid w:val="4C50591F"/>
    <w:rsid w:val="4C9626B1"/>
    <w:rsid w:val="4D954FC4"/>
    <w:rsid w:val="4ED04E2E"/>
    <w:rsid w:val="4F4149C4"/>
    <w:rsid w:val="4F5631E1"/>
    <w:rsid w:val="4FAC07AC"/>
    <w:rsid w:val="4FEC2564"/>
    <w:rsid w:val="5160636B"/>
    <w:rsid w:val="52EF4725"/>
    <w:rsid w:val="52F731D5"/>
    <w:rsid w:val="5510030C"/>
    <w:rsid w:val="576B4C7D"/>
    <w:rsid w:val="58506C0B"/>
    <w:rsid w:val="586332AA"/>
    <w:rsid w:val="589A5C25"/>
    <w:rsid w:val="58CD35D0"/>
    <w:rsid w:val="59C70E97"/>
    <w:rsid w:val="5A510C52"/>
    <w:rsid w:val="5A87575B"/>
    <w:rsid w:val="5B615434"/>
    <w:rsid w:val="5BF14554"/>
    <w:rsid w:val="5C216943"/>
    <w:rsid w:val="5C461A6E"/>
    <w:rsid w:val="5CA53BDE"/>
    <w:rsid w:val="5CCE7F2E"/>
    <w:rsid w:val="5DA824E9"/>
    <w:rsid w:val="5DB548C9"/>
    <w:rsid w:val="5DBB2C7B"/>
    <w:rsid w:val="5DC62788"/>
    <w:rsid w:val="5F2B3726"/>
    <w:rsid w:val="5F693423"/>
    <w:rsid w:val="60B302BB"/>
    <w:rsid w:val="60F942BF"/>
    <w:rsid w:val="6277449A"/>
    <w:rsid w:val="627843F0"/>
    <w:rsid w:val="62B3225A"/>
    <w:rsid w:val="633E261F"/>
    <w:rsid w:val="63EE52D5"/>
    <w:rsid w:val="65AC2E97"/>
    <w:rsid w:val="66B824E0"/>
    <w:rsid w:val="66BB3049"/>
    <w:rsid w:val="66CF5585"/>
    <w:rsid w:val="66DE58DF"/>
    <w:rsid w:val="66E65257"/>
    <w:rsid w:val="66FF43C3"/>
    <w:rsid w:val="67025125"/>
    <w:rsid w:val="67D45DE0"/>
    <w:rsid w:val="68B47C8E"/>
    <w:rsid w:val="68D6520F"/>
    <w:rsid w:val="690C6230"/>
    <w:rsid w:val="69F834F7"/>
    <w:rsid w:val="6B60547E"/>
    <w:rsid w:val="6B870AE7"/>
    <w:rsid w:val="6C2C270E"/>
    <w:rsid w:val="6D2D47EE"/>
    <w:rsid w:val="6D3C641D"/>
    <w:rsid w:val="6E70322A"/>
    <w:rsid w:val="701050D6"/>
    <w:rsid w:val="70F360CD"/>
    <w:rsid w:val="71EC71B4"/>
    <w:rsid w:val="726460DF"/>
    <w:rsid w:val="72DC4A74"/>
    <w:rsid w:val="73096C62"/>
    <w:rsid w:val="732C053B"/>
    <w:rsid w:val="73DB255C"/>
    <w:rsid w:val="74100875"/>
    <w:rsid w:val="742B3667"/>
    <w:rsid w:val="74D14752"/>
    <w:rsid w:val="762C3419"/>
    <w:rsid w:val="765164B1"/>
    <w:rsid w:val="77B25AB5"/>
    <w:rsid w:val="7A6D63AD"/>
    <w:rsid w:val="7B112ECE"/>
    <w:rsid w:val="7C5243E0"/>
    <w:rsid w:val="7D065B14"/>
    <w:rsid w:val="7E5258B2"/>
    <w:rsid w:val="7EFB3765"/>
    <w:rsid w:val="7F01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Office_11.1.0.11392_F1E327BC-269C-435d-A152-05C5408002CA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2022-01-06T02:47:00Z</dcterms:created>
  <dc:creator>李胤澄</dc:creator>
  <cp:lastModifiedBy>李胤澄</cp:lastModifiedBy>
  <dcterms:modified xsi:type="dcterms:W3CDTF">2022-01-07T07:50:50Z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2052-11.1.0.11392</vt:lpwstr>
  </property>
  <property fmtid="{D5CDD505-2E9C-101B-9397-08002B2CF9AE}" pid="3" name="ICV">
    <vt:lpwstr>4D8CB9F9C59B46049E1EAE3F457679F1</vt:lpwstr>
  </property>
</Properties>
</file>