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4882A">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重庆科创职业学院章程</w:t>
      </w:r>
    </w:p>
    <w:p w14:paraId="2A075A58">
      <w:pPr>
        <w:spacing w:line="560" w:lineRule="exact"/>
        <w:jc w:val="center"/>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（2024年核准稿）</w:t>
      </w:r>
    </w:p>
    <w:p w14:paraId="5BE1484D">
      <w:pPr>
        <w:spacing w:line="560" w:lineRule="exact"/>
        <w:jc w:val="center"/>
        <w:outlineLvl w:val="0"/>
        <w:rPr>
          <w:rFonts w:ascii="黑体" w:hAnsi="黑体" w:eastAsia="黑体" w:cs="黑体"/>
          <w:sz w:val="32"/>
          <w:szCs w:val="32"/>
        </w:rPr>
      </w:pPr>
      <w:bookmarkStart w:id="22" w:name="_GoBack"/>
      <w:bookmarkEnd w:id="22"/>
      <w:bookmarkStart w:id="0" w:name="_Toc9186"/>
    </w:p>
    <w:p w14:paraId="2C12DF16">
      <w:pPr>
        <w:spacing w:line="560" w:lineRule="exact"/>
        <w:jc w:val="center"/>
        <w:outlineLvl w:val="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序  言</w:t>
      </w:r>
      <w:bookmarkEnd w:id="0"/>
    </w:p>
    <w:p w14:paraId="7EDCF9E6">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重庆科创职业学院（以下简称“学院”）是经重庆市人民政府批准，教育部备案的全日制民办高等职业学校。学院创建于1993年，前身为重庆信息工程专修学院，2008年升格为重庆科创职业学院。</w:t>
      </w:r>
    </w:p>
    <w:p w14:paraId="7178891C">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学院坚持中国共产党的领导，坚持社会主义办学方向，贯彻国家的教育方针，坚持立德树人、德技并修，坚持产教融合、校企合作，坚持面向市场、促进就业，坚持面向实践、强化能力，坚持面向人人、因材施教。学院依法治校，规范办学，提升治理能力和水平，实施质量立校、人才强校、特色兴校的发展战略，秉承“育人育德 尚知尚能”的办学理念，按照高等教育、职业教育、继续教育协同创新，推进职普融通、产教融合、科教融汇的发展要求，以“智能引领创新发展，科技创造美好生活”为使命，加强内涵建设，推进教育改革，突出特色优势，增强服务能力，提高办学水平，为地方经济社会发展和技能型社会建设提供人才和技能支撑，努力建成服务区域发展、智能优势突出、办学特色鲜明的高水平职业技术院校。</w:t>
      </w:r>
    </w:p>
    <w:p w14:paraId="040DDA4E">
      <w:pPr>
        <w:spacing w:line="560" w:lineRule="exact"/>
        <w:ind w:firstLine="640" w:firstLineChars="200"/>
        <w:rPr>
          <w:rFonts w:ascii="方正仿宋_GBK" w:hAnsi="方正仿宋_GBK" w:eastAsia="方正仿宋_GBK" w:cs="方正仿宋_GBK"/>
          <w:sz w:val="32"/>
          <w:szCs w:val="32"/>
        </w:rPr>
      </w:pPr>
    </w:p>
    <w:p w14:paraId="26851817">
      <w:pPr>
        <w:spacing w:line="560" w:lineRule="exact"/>
        <w:jc w:val="center"/>
        <w:outlineLvl w:val="0"/>
        <w:rPr>
          <w:rFonts w:ascii="方正黑体_GBK" w:hAnsi="方正黑体_GBK" w:eastAsia="方正黑体_GBK" w:cs="方正黑体_GBK"/>
          <w:sz w:val="32"/>
          <w:szCs w:val="32"/>
        </w:rPr>
      </w:pPr>
      <w:bookmarkStart w:id="1" w:name="_Toc31272"/>
      <w:r>
        <w:rPr>
          <w:rFonts w:hint="eastAsia" w:ascii="方正黑体_GBK" w:hAnsi="方正黑体_GBK" w:eastAsia="方正黑体_GBK" w:cs="方正黑体_GBK"/>
          <w:sz w:val="32"/>
          <w:szCs w:val="32"/>
        </w:rPr>
        <w:t>第一章  总  则</w:t>
      </w:r>
      <w:bookmarkEnd w:id="1"/>
    </w:p>
    <w:p w14:paraId="4A55E78D">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第一条  </w:t>
      </w:r>
      <w:r>
        <w:rPr>
          <w:rFonts w:hint="eastAsia" w:ascii="方正仿宋_GBK" w:hAnsi="方正仿宋_GBK" w:eastAsia="方正仿宋_GBK" w:cs="方正仿宋_GBK"/>
          <w:sz w:val="32"/>
          <w:szCs w:val="32"/>
        </w:rPr>
        <w:t>为依法规范学院的办学活动和管理工作，保证学院社会主义办学方向，维护学院学生、教职工和举办者的合法权益，根据《中华人民共和国民法典》《中华人民共和国高等教育法》《中华人民共和国职业教育法》《中华人民共和国民办教育促进法》《中华人民共和国民办教育促进法实施条例》《民办非企业单位登记管理暂行条例》等法律法规的规定，参照《高等学校章程制定暂行办法》，结合学院实际，制定本章程。</w:t>
      </w:r>
    </w:p>
    <w:p w14:paraId="2ACBC79E">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第二条  </w:t>
      </w:r>
      <w:r>
        <w:rPr>
          <w:rFonts w:hint="eastAsia" w:ascii="方正仿宋_GBK" w:hAnsi="方正仿宋_GBK" w:eastAsia="方正仿宋_GBK" w:cs="方正仿宋_GBK"/>
          <w:sz w:val="32"/>
          <w:szCs w:val="32"/>
        </w:rPr>
        <w:t>校名和校址</w:t>
      </w:r>
    </w:p>
    <w:p w14:paraId="1FD494EB">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校  名：重庆科创职业学院</w:t>
      </w:r>
    </w:p>
    <w:p w14:paraId="67FBCE35">
      <w:pPr>
        <w:spacing w:line="560" w:lineRule="exact"/>
        <w:ind w:firstLine="640" w:firstLineChars="200"/>
        <w:rPr>
          <w:rFonts w:ascii="方正仿宋_GBK" w:hAnsi="方正仿宋_GBK" w:eastAsia="方正仿宋_GBK" w:cs="方正仿宋_GBK"/>
          <w:spacing w:val="23"/>
          <w:sz w:val="24"/>
        </w:rPr>
      </w:pPr>
      <w:r>
        <w:rPr>
          <w:rFonts w:hint="eastAsia" w:ascii="方正仿宋_GBK" w:hAnsi="方正仿宋_GBK" w:eastAsia="方正仿宋_GBK" w:cs="方正仿宋_GBK"/>
          <w:sz w:val="32"/>
          <w:szCs w:val="32"/>
        </w:rPr>
        <w:t>英文名：</w:t>
      </w:r>
      <w:r>
        <w:rPr>
          <w:rFonts w:hint="eastAsia" w:ascii="方正仿宋_GBK" w:hAnsi="方正仿宋_GBK" w:eastAsia="方正仿宋_GBK" w:cs="方正仿宋_GBK"/>
          <w:spacing w:val="23"/>
          <w:sz w:val="24"/>
        </w:rPr>
        <w:t>Chongqing College of Science and Creation</w:t>
      </w:r>
    </w:p>
    <w:p w14:paraId="41AB5029">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校  址：重庆市永川区昌州大道西段28号</w:t>
      </w:r>
    </w:p>
    <w:p w14:paraId="6882A657">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网  址：http://www.cqie.cn</w:t>
      </w:r>
    </w:p>
    <w:p w14:paraId="096C4037">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第三条  </w:t>
      </w:r>
      <w:r>
        <w:rPr>
          <w:rFonts w:hint="eastAsia" w:ascii="方正仿宋_GBK" w:hAnsi="方正仿宋_GBK" w:eastAsia="方正仿宋_GBK" w:cs="方正仿宋_GBK"/>
          <w:sz w:val="32"/>
          <w:szCs w:val="32"/>
        </w:rPr>
        <w:t>办学类型和性质</w:t>
      </w:r>
    </w:p>
    <w:p w14:paraId="692A5FFD">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办 学 类 型 ：全日制高等职业学校</w:t>
      </w:r>
    </w:p>
    <w:p w14:paraId="00F7E8B6">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办 学 性 质 ：非营利性民办高校</w:t>
      </w:r>
    </w:p>
    <w:p w14:paraId="0D4B40B9">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审 批 机 关 ：重庆市人民政府</w:t>
      </w:r>
    </w:p>
    <w:p w14:paraId="45C7C89C">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业务主管单位：重庆市教育委员会</w:t>
      </w:r>
    </w:p>
    <w:p w14:paraId="2CEABC7C">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登记管理单位：重庆市民政局</w:t>
      </w:r>
    </w:p>
    <w:p w14:paraId="4E13DC3B">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第四条  </w:t>
      </w:r>
      <w:r>
        <w:rPr>
          <w:rFonts w:hint="eastAsia" w:ascii="方正仿宋_GBK" w:hAnsi="方正仿宋_GBK" w:eastAsia="方正仿宋_GBK" w:cs="方正仿宋_GBK"/>
          <w:sz w:val="32"/>
          <w:szCs w:val="32"/>
        </w:rPr>
        <w:t>学院坚持中国共产党领导，以马克思列宁主义、毛泽东思想、邓小平理论、“三个代表”重要思想、科学发展观和习近平新时代中国特色社会主义思想为指导，全面贯彻党的教育方针，坚持社会主义办学方向，遵守宪法、法律、法规和国家政策，践行社会主义核心价值观，弘扬中华民族传统美德，遵守社会道德，坚持教育的公益属性，落实立德树人根本任务，培养德智体美劳全面发展的社会主义建设者和接班人。</w:t>
      </w:r>
    </w:p>
    <w:p w14:paraId="4404CA51">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第五条  </w:t>
      </w:r>
      <w:r>
        <w:rPr>
          <w:rFonts w:hint="eastAsia" w:ascii="方正仿宋_GBK" w:hAnsi="方正仿宋_GBK" w:eastAsia="方正仿宋_GBK" w:cs="方正仿宋_GBK"/>
          <w:sz w:val="32"/>
          <w:szCs w:val="32"/>
        </w:rPr>
        <w:t>学院遵循教育规律，保证教育质量，加强自主管理，发挥特色优势，满足多样化教育需求，推进学院科学发展，促进改革创新，围绕人才培养、科学研究、社会服务、文化传承与创新、开放交流合作的职能，依法完善内部法人治理结构，体现和保护学院办学特色与制度成果，完善自主管理、自我约束的体制和机制。</w:t>
      </w:r>
    </w:p>
    <w:p w14:paraId="0786AEC2">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第六条  </w:t>
      </w:r>
      <w:r>
        <w:rPr>
          <w:rFonts w:hint="eastAsia" w:ascii="方正仿宋_GBK" w:hAnsi="方正仿宋_GBK" w:eastAsia="方正仿宋_GBK" w:cs="方正仿宋_GBK"/>
          <w:sz w:val="32"/>
          <w:szCs w:val="32"/>
        </w:rPr>
        <w:t>办学规模、层次及专业设置</w:t>
      </w:r>
    </w:p>
    <w:p w14:paraId="7A659F5B">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（一）办学规模：学院根据地方政府及业务主管单位的统筹安排和社会需求，结合自身条件与规划确定发展规模。</w:t>
      </w:r>
    </w:p>
    <w:p w14:paraId="1F7FB433">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办学层次：学院以全日制高等职业教育（专科层次）为主，同时开展各类职业技能培训；按需开展专本贯通、五年一贯制和“三二”分段制教育等，兼顾自学考试、成人学历等继续教育，开展国际合作办学。</w:t>
      </w:r>
    </w:p>
    <w:p w14:paraId="3840F4A2">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专业设置：学院依据国家专业设置标准，围绕区域现代制造业与现代服务业发展，以“人工智能+”为驱动，服务高质量发展和高品质生活的需求，构建智能制造、人工智能、车辆技术、建筑工程、财经管理、数字创意、学前教育和康养护理等专业群，并根据社会需求和自身发展增设或调减专业。</w:t>
      </w:r>
    </w:p>
    <w:p w14:paraId="2C8DBA8E">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第七条  </w:t>
      </w:r>
      <w:r>
        <w:rPr>
          <w:rFonts w:hint="eastAsia" w:ascii="方正仿宋_GBK" w:hAnsi="方正仿宋_GBK" w:eastAsia="方正仿宋_GBK" w:cs="方正仿宋_GBK"/>
          <w:sz w:val="32"/>
          <w:szCs w:val="32"/>
        </w:rPr>
        <w:t>学院具有独立法人资格，依法享有办学自主权，依法享有民事权利，独立承担法律责任。学院办学活动遵守国家和地方的法律法规，按照业务主管单位和登记管理单位的相关规定，自觉接受年度检查、督导和办学水平、教育质量的评估，并按要求将检查、评估结果向社会公开，接受各方监督。</w:t>
      </w:r>
    </w:p>
    <w:p w14:paraId="7D20DF9E">
      <w:pPr>
        <w:spacing w:line="560" w:lineRule="exact"/>
        <w:ind w:firstLine="640" w:firstLineChars="200"/>
        <w:rPr>
          <w:rFonts w:ascii="方正仿宋_GBK" w:hAnsi="方正仿宋_GBK" w:eastAsia="方正仿宋_GBK" w:cs="方正仿宋_GBK"/>
          <w:sz w:val="32"/>
          <w:szCs w:val="32"/>
        </w:rPr>
      </w:pPr>
    </w:p>
    <w:p w14:paraId="6790CC08">
      <w:pPr>
        <w:spacing w:line="560" w:lineRule="exact"/>
        <w:jc w:val="center"/>
        <w:outlineLvl w:val="0"/>
        <w:rPr>
          <w:rFonts w:ascii="仿宋_GB2312" w:hAnsi="仿宋_GB2312" w:eastAsia="仿宋_GB2312" w:cs="仿宋_GB2312"/>
          <w:sz w:val="32"/>
          <w:szCs w:val="32"/>
        </w:rPr>
      </w:pPr>
      <w:bookmarkStart w:id="2" w:name="_Toc30070"/>
      <w:r>
        <w:rPr>
          <w:rFonts w:hint="eastAsia" w:ascii="黑体" w:hAnsi="黑体" w:eastAsia="黑体" w:cs="黑体"/>
          <w:sz w:val="32"/>
          <w:szCs w:val="32"/>
        </w:rPr>
        <w:t>第二章  举办者和开办资金</w:t>
      </w:r>
      <w:bookmarkEnd w:id="2"/>
    </w:p>
    <w:p w14:paraId="7BC9966D">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第八条  </w:t>
      </w:r>
      <w:r>
        <w:rPr>
          <w:rFonts w:hint="eastAsia" w:ascii="方正仿宋_GBK" w:hAnsi="方正仿宋_GBK" w:eastAsia="方正仿宋_GBK" w:cs="方正仿宋_GBK"/>
          <w:sz w:val="32"/>
          <w:szCs w:val="32"/>
        </w:rPr>
        <w:t>学院举办者为重庆天长实业有限责任公司，学院创办人为重庆天长实业有限责任公司董事长何济。学院开办资金25,444.1568万元，如下表：</w:t>
      </w:r>
    </w:p>
    <w:tbl>
      <w:tblPr>
        <w:tblStyle w:val="14"/>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4"/>
        <w:gridCol w:w="1990"/>
        <w:gridCol w:w="1818"/>
        <w:gridCol w:w="1701"/>
        <w:gridCol w:w="1917"/>
      </w:tblGrid>
      <w:tr w14:paraId="0D8F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628A0E24">
            <w:pPr>
              <w:spacing w:line="600" w:lineRule="exact"/>
              <w:jc w:val="center"/>
              <w:rPr>
                <w:rFonts w:ascii="仿宋_GB2312" w:hAnsi="仿宋_GB2312" w:eastAsia="仿宋_GB2312" w:cs="仿宋_GB2312"/>
                <w:sz w:val="24"/>
              </w:rPr>
            </w:pPr>
            <w:r>
              <w:rPr>
                <w:rFonts w:hint="eastAsia" w:ascii="仿宋_GB2312" w:eastAsia="仿宋_GB2312" w:cs="仿宋_GB2312"/>
                <w:b/>
                <w:sz w:val="24"/>
              </w:rPr>
              <w:t>举办者</w:t>
            </w:r>
          </w:p>
        </w:tc>
        <w:tc>
          <w:tcPr>
            <w:tcW w:w="1990" w:type="dxa"/>
            <w:vAlign w:val="center"/>
          </w:tcPr>
          <w:p w14:paraId="1CBB58E9">
            <w:pPr>
              <w:widowControl/>
              <w:spacing w:line="600" w:lineRule="exact"/>
              <w:jc w:val="center"/>
              <w:rPr>
                <w:rFonts w:ascii="仿宋_GB2312" w:eastAsia="仿宋_GB2312" w:cs="仿宋_GB2312"/>
                <w:b/>
                <w:sz w:val="24"/>
              </w:rPr>
            </w:pPr>
            <w:r>
              <w:rPr>
                <w:rFonts w:hint="eastAsia" w:ascii="仿宋_GB2312" w:eastAsia="仿宋_GB2312" w:cs="仿宋_GB2312"/>
                <w:b/>
                <w:sz w:val="24"/>
              </w:rPr>
              <w:t>出资额（万元）</w:t>
            </w:r>
          </w:p>
        </w:tc>
        <w:tc>
          <w:tcPr>
            <w:tcW w:w="1818" w:type="dxa"/>
            <w:vAlign w:val="center"/>
          </w:tcPr>
          <w:p w14:paraId="31B70CCD">
            <w:pPr>
              <w:widowControl/>
              <w:spacing w:line="600" w:lineRule="exact"/>
              <w:jc w:val="center"/>
              <w:rPr>
                <w:rFonts w:ascii="仿宋_GB2312" w:eastAsia="仿宋_GB2312" w:cs="仿宋_GB2312"/>
                <w:b/>
                <w:sz w:val="24"/>
              </w:rPr>
            </w:pPr>
            <w:r>
              <w:rPr>
                <w:rFonts w:hint="eastAsia" w:ascii="仿宋_GB2312" w:eastAsia="仿宋_GB2312" w:cs="仿宋_GB2312"/>
                <w:b/>
                <w:sz w:val="24"/>
              </w:rPr>
              <w:t>出资方式</w:t>
            </w:r>
          </w:p>
        </w:tc>
        <w:tc>
          <w:tcPr>
            <w:tcW w:w="1701" w:type="dxa"/>
            <w:vAlign w:val="center"/>
          </w:tcPr>
          <w:p w14:paraId="22652CC7">
            <w:pPr>
              <w:widowControl/>
              <w:spacing w:line="600" w:lineRule="exact"/>
              <w:jc w:val="center"/>
              <w:rPr>
                <w:rFonts w:ascii="仿宋_GB2312" w:eastAsia="仿宋_GB2312" w:cs="仿宋_GB2312"/>
                <w:b/>
                <w:sz w:val="24"/>
              </w:rPr>
            </w:pPr>
            <w:r>
              <w:rPr>
                <w:rFonts w:hint="eastAsia" w:ascii="仿宋_GB2312" w:eastAsia="仿宋_GB2312" w:cs="仿宋_GB2312"/>
                <w:b/>
                <w:sz w:val="24"/>
              </w:rPr>
              <w:t>出资比例（%）</w:t>
            </w:r>
          </w:p>
        </w:tc>
        <w:tc>
          <w:tcPr>
            <w:tcW w:w="1917" w:type="dxa"/>
            <w:vAlign w:val="center"/>
          </w:tcPr>
          <w:p w14:paraId="71FC4DBF">
            <w:pPr>
              <w:spacing w:line="600" w:lineRule="exact"/>
              <w:jc w:val="center"/>
              <w:rPr>
                <w:rFonts w:ascii="仿宋_GB2312" w:hAnsi="仿宋_GB2312" w:eastAsia="仿宋_GB2312" w:cs="仿宋_GB2312"/>
                <w:sz w:val="24"/>
              </w:rPr>
            </w:pPr>
            <w:r>
              <w:rPr>
                <w:rFonts w:hint="eastAsia" w:ascii="仿宋_GB2312" w:eastAsia="仿宋_GB2312" w:cs="仿宋_GB2312"/>
                <w:b/>
                <w:sz w:val="24"/>
              </w:rPr>
              <w:t>出资时间</w:t>
            </w:r>
          </w:p>
        </w:tc>
      </w:tr>
      <w:tr w14:paraId="13D0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654" w:type="dxa"/>
            <w:vMerge w:val="restart"/>
            <w:vAlign w:val="center"/>
          </w:tcPr>
          <w:p w14:paraId="1FC63477">
            <w:pPr>
              <w:widowControl/>
              <w:adjustRightInd w:val="0"/>
              <w:snapToGrid w:val="0"/>
              <w:spacing w:line="600" w:lineRule="exact"/>
              <w:jc w:val="center"/>
              <w:rPr>
                <w:rFonts w:ascii="仿宋_GB2312" w:eastAsia="仿宋_GB2312" w:cs="仿宋_GB2312"/>
                <w:sz w:val="24"/>
              </w:rPr>
            </w:pPr>
            <w:r>
              <w:rPr>
                <w:rFonts w:hint="eastAsia" w:ascii="仿宋_GB2312" w:eastAsia="仿宋_GB2312" w:cs="仿宋_GB2312"/>
                <w:sz w:val="24"/>
              </w:rPr>
              <w:t>重庆天长实业有限责任公司</w:t>
            </w:r>
          </w:p>
        </w:tc>
        <w:tc>
          <w:tcPr>
            <w:tcW w:w="1990" w:type="dxa"/>
            <w:vAlign w:val="center"/>
          </w:tcPr>
          <w:p w14:paraId="467EC480">
            <w:pPr>
              <w:widowControl/>
              <w:jc w:val="center"/>
              <w:textAlignment w:val="center"/>
              <w:rPr>
                <w:rFonts w:ascii="仿宋_GB2312" w:hAnsi="宋体" w:eastAsia="仿宋_GB2312" w:cs="宋体"/>
                <w:bCs/>
                <w:color w:val="000000"/>
                <w:sz w:val="24"/>
              </w:rPr>
            </w:pPr>
            <w:r>
              <w:rPr>
                <w:rFonts w:hint="eastAsia" w:ascii="仿宋_GB2312" w:hAnsi="宋体" w:eastAsia="仿宋_GB2312" w:cs="宋体"/>
                <w:bCs/>
                <w:color w:val="000000"/>
                <w:kern w:val="0"/>
                <w:sz w:val="24"/>
                <w:lang w:bidi="ar"/>
              </w:rPr>
              <w:t xml:space="preserve">18,000.0000 </w:t>
            </w:r>
          </w:p>
        </w:tc>
        <w:tc>
          <w:tcPr>
            <w:tcW w:w="1818" w:type="dxa"/>
            <w:vAlign w:val="center"/>
          </w:tcPr>
          <w:p w14:paraId="474EBB2B">
            <w:pPr>
              <w:widowControl/>
              <w:adjustRightInd w:val="0"/>
              <w:snapToGrid w:val="0"/>
              <w:spacing w:line="600" w:lineRule="exact"/>
              <w:jc w:val="center"/>
              <w:rPr>
                <w:rFonts w:ascii="仿宋_GB2312" w:hAnsi="宋体" w:eastAsia="仿宋_GB2312" w:cs="宋体"/>
                <w:bCs/>
                <w:sz w:val="24"/>
              </w:rPr>
            </w:pPr>
            <w:r>
              <w:rPr>
                <w:rFonts w:hint="eastAsia" w:ascii="仿宋_GB2312" w:hAnsi="宋体" w:eastAsia="仿宋_GB2312" w:cs="宋体"/>
                <w:bCs/>
                <w:sz w:val="24"/>
              </w:rPr>
              <w:t>货币资金</w:t>
            </w:r>
          </w:p>
        </w:tc>
        <w:tc>
          <w:tcPr>
            <w:tcW w:w="1701" w:type="dxa"/>
            <w:vAlign w:val="center"/>
          </w:tcPr>
          <w:p w14:paraId="643691C7">
            <w:pPr>
              <w:widowControl/>
              <w:adjustRightInd w:val="0"/>
              <w:snapToGrid w:val="0"/>
              <w:spacing w:line="600" w:lineRule="exact"/>
              <w:jc w:val="center"/>
              <w:rPr>
                <w:rFonts w:ascii="仿宋_GB2312" w:hAnsi="宋体" w:eastAsia="仿宋_GB2312" w:cs="宋体"/>
                <w:bCs/>
                <w:sz w:val="24"/>
              </w:rPr>
            </w:pPr>
            <w:r>
              <w:rPr>
                <w:rFonts w:hint="eastAsia" w:ascii="仿宋_GB2312" w:hAnsi="宋体" w:eastAsia="仿宋_GB2312" w:cs="宋体"/>
                <w:bCs/>
                <w:sz w:val="24"/>
              </w:rPr>
              <w:t>70.74</w:t>
            </w:r>
          </w:p>
        </w:tc>
        <w:tc>
          <w:tcPr>
            <w:tcW w:w="1917" w:type="dxa"/>
            <w:vMerge w:val="restart"/>
            <w:vAlign w:val="center"/>
          </w:tcPr>
          <w:p w14:paraId="72D01A26">
            <w:pPr>
              <w:widowControl/>
              <w:adjustRightInd w:val="0"/>
              <w:snapToGrid w:val="0"/>
              <w:spacing w:line="600" w:lineRule="exact"/>
              <w:jc w:val="center"/>
              <w:rPr>
                <w:rFonts w:ascii="仿宋_GB2312" w:eastAsia="仿宋_GB2312" w:cs="仿宋_GB2312"/>
                <w:sz w:val="24"/>
              </w:rPr>
            </w:pPr>
            <w:r>
              <w:rPr>
                <w:rFonts w:hint="eastAsia" w:ascii="仿宋_GB2312" w:eastAsia="仿宋_GB2312" w:cs="仿宋_GB2312"/>
                <w:sz w:val="24"/>
              </w:rPr>
              <w:t>2003年10月至2021年10月</w:t>
            </w:r>
          </w:p>
        </w:tc>
      </w:tr>
      <w:tr w14:paraId="71BA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654" w:type="dxa"/>
            <w:vMerge w:val="continue"/>
            <w:vAlign w:val="center"/>
          </w:tcPr>
          <w:p w14:paraId="528F5B35">
            <w:pPr>
              <w:widowControl/>
              <w:adjustRightInd w:val="0"/>
              <w:snapToGrid w:val="0"/>
              <w:spacing w:line="600" w:lineRule="exact"/>
              <w:jc w:val="center"/>
              <w:rPr>
                <w:rFonts w:ascii="仿宋_GB2312" w:eastAsia="仿宋_GB2312" w:cs="仿宋_GB2312"/>
                <w:sz w:val="24"/>
              </w:rPr>
            </w:pPr>
          </w:p>
        </w:tc>
        <w:tc>
          <w:tcPr>
            <w:tcW w:w="1990" w:type="dxa"/>
            <w:vAlign w:val="center"/>
          </w:tcPr>
          <w:p w14:paraId="0C19AA8D">
            <w:pPr>
              <w:widowControl/>
              <w:jc w:val="center"/>
              <w:textAlignment w:val="center"/>
              <w:rPr>
                <w:rFonts w:ascii="仿宋_GB2312" w:hAnsi="宋体" w:eastAsia="仿宋_GB2312" w:cs="宋体"/>
                <w:bCs/>
                <w:color w:val="000000"/>
                <w:sz w:val="24"/>
              </w:rPr>
            </w:pPr>
            <w:r>
              <w:rPr>
                <w:rFonts w:hint="eastAsia" w:ascii="仿宋_GB2312" w:hAnsi="宋体" w:eastAsia="仿宋_GB2312" w:cs="宋体"/>
                <w:bCs/>
                <w:color w:val="000000"/>
                <w:kern w:val="0"/>
                <w:sz w:val="24"/>
                <w:lang w:bidi="ar"/>
              </w:rPr>
              <w:t xml:space="preserve">2,382.2468 </w:t>
            </w:r>
          </w:p>
        </w:tc>
        <w:tc>
          <w:tcPr>
            <w:tcW w:w="1818" w:type="dxa"/>
            <w:vAlign w:val="center"/>
          </w:tcPr>
          <w:p w14:paraId="1C398E14">
            <w:pPr>
              <w:widowControl/>
              <w:adjustRightInd w:val="0"/>
              <w:snapToGrid w:val="0"/>
              <w:spacing w:line="600" w:lineRule="exact"/>
              <w:jc w:val="center"/>
              <w:rPr>
                <w:rFonts w:ascii="仿宋_GB2312" w:hAnsi="宋体" w:eastAsia="仿宋_GB2312" w:cs="宋体"/>
                <w:bCs/>
                <w:sz w:val="24"/>
              </w:rPr>
            </w:pPr>
            <w:r>
              <w:rPr>
                <w:rFonts w:hint="eastAsia" w:ascii="仿宋_GB2312" w:hAnsi="宋体" w:eastAsia="仿宋_GB2312" w:cs="宋体"/>
                <w:bCs/>
                <w:sz w:val="24"/>
              </w:rPr>
              <w:t>实物资产</w:t>
            </w:r>
          </w:p>
        </w:tc>
        <w:tc>
          <w:tcPr>
            <w:tcW w:w="1701" w:type="dxa"/>
            <w:vAlign w:val="center"/>
          </w:tcPr>
          <w:p w14:paraId="4CE21DE4">
            <w:pPr>
              <w:widowControl/>
              <w:adjustRightInd w:val="0"/>
              <w:snapToGrid w:val="0"/>
              <w:spacing w:line="600" w:lineRule="exact"/>
              <w:jc w:val="center"/>
              <w:rPr>
                <w:rFonts w:ascii="仿宋_GB2312" w:hAnsi="宋体" w:eastAsia="仿宋_GB2312" w:cs="宋体"/>
                <w:bCs/>
                <w:sz w:val="24"/>
              </w:rPr>
            </w:pPr>
            <w:r>
              <w:rPr>
                <w:rFonts w:hint="eastAsia" w:ascii="仿宋_GB2312" w:hAnsi="宋体" w:eastAsia="仿宋_GB2312" w:cs="宋体"/>
                <w:bCs/>
                <w:sz w:val="24"/>
              </w:rPr>
              <w:t>9.36</w:t>
            </w:r>
          </w:p>
        </w:tc>
        <w:tc>
          <w:tcPr>
            <w:tcW w:w="1917" w:type="dxa"/>
            <w:vMerge w:val="continue"/>
            <w:vAlign w:val="center"/>
          </w:tcPr>
          <w:p w14:paraId="4BB28BE2">
            <w:pPr>
              <w:widowControl/>
              <w:adjustRightInd w:val="0"/>
              <w:snapToGrid w:val="0"/>
              <w:spacing w:line="600" w:lineRule="exact"/>
              <w:jc w:val="center"/>
              <w:rPr>
                <w:rFonts w:ascii="仿宋_GB2312" w:eastAsia="仿宋_GB2312" w:cs="仿宋_GB2312"/>
                <w:sz w:val="24"/>
              </w:rPr>
            </w:pPr>
          </w:p>
        </w:tc>
      </w:tr>
      <w:tr w14:paraId="2D1C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654" w:type="dxa"/>
            <w:vMerge w:val="continue"/>
            <w:vAlign w:val="center"/>
          </w:tcPr>
          <w:p w14:paraId="694FF381">
            <w:pPr>
              <w:widowControl/>
              <w:adjustRightInd w:val="0"/>
              <w:snapToGrid w:val="0"/>
              <w:spacing w:line="600" w:lineRule="exact"/>
              <w:jc w:val="center"/>
              <w:rPr>
                <w:rFonts w:ascii="仿宋_GB2312" w:eastAsia="仿宋_GB2312" w:cs="仿宋_GB2312"/>
                <w:sz w:val="24"/>
              </w:rPr>
            </w:pPr>
          </w:p>
        </w:tc>
        <w:tc>
          <w:tcPr>
            <w:tcW w:w="1990" w:type="dxa"/>
            <w:vAlign w:val="center"/>
          </w:tcPr>
          <w:p w14:paraId="536821C4">
            <w:pPr>
              <w:widowControl/>
              <w:jc w:val="center"/>
              <w:textAlignment w:val="center"/>
              <w:rPr>
                <w:rFonts w:ascii="仿宋_GB2312" w:hAnsi="宋体" w:eastAsia="仿宋_GB2312" w:cs="宋体"/>
                <w:bCs/>
                <w:color w:val="000000"/>
                <w:sz w:val="24"/>
              </w:rPr>
            </w:pPr>
            <w:r>
              <w:rPr>
                <w:rFonts w:hint="eastAsia" w:ascii="仿宋_GB2312" w:hAnsi="宋体" w:eastAsia="仿宋_GB2312" w:cs="宋体"/>
                <w:bCs/>
                <w:color w:val="000000"/>
                <w:kern w:val="0"/>
                <w:sz w:val="24"/>
                <w:lang w:bidi="ar"/>
              </w:rPr>
              <w:t xml:space="preserve">5,061.9100 </w:t>
            </w:r>
          </w:p>
        </w:tc>
        <w:tc>
          <w:tcPr>
            <w:tcW w:w="1818" w:type="dxa"/>
            <w:vAlign w:val="center"/>
          </w:tcPr>
          <w:p w14:paraId="71E765B4">
            <w:pPr>
              <w:widowControl/>
              <w:adjustRightInd w:val="0"/>
              <w:snapToGrid w:val="0"/>
              <w:spacing w:line="600" w:lineRule="exact"/>
              <w:jc w:val="center"/>
              <w:rPr>
                <w:rFonts w:ascii="仿宋_GB2312" w:hAnsi="宋体" w:eastAsia="仿宋_GB2312" w:cs="宋体"/>
                <w:bCs/>
                <w:sz w:val="24"/>
              </w:rPr>
            </w:pPr>
            <w:r>
              <w:rPr>
                <w:rFonts w:hint="eastAsia" w:ascii="仿宋_GB2312" w:hAnsi="宋体" w:eastAsia="仿宋_GB2312" w:cs="宋体"/>
                <w:bCs/>
                <w:sz w:val="24"/>
              </w:rPr>
              <w:t>无形资产</w:t>
            </w:r>
          </w:p>
        </w:tc>
        <w:tc>
          <w:tcPr>
            <w:tcW w:w="1701" w:type="dxa"/>
            <w:vAlign w:val="center"/>
          </w:tcPr>
          <w:p w14:paraId="0233C09B">
            <w:pPr>
              <w:widowControl/>
              <w:adjustRightInd w:val="0"/>
              <w:snapToGrid w:val="0"/>
              <w:spacing w:line="600" w:lineRule="exact"/>
              <w:jc w:val="center"/>
              <w:rPr>
                <w:rFonts w:ascii="仿宋_GB2312" w:hAnsi="宋体" w:eastAsia="仿宋_GB2312" w:cs="宋体"/>
                <w:bCs/>
                <w:sz w:val="24"/>
              </w:rPr>
            </w:pPr>
            <w:r>
              <w:rPr>
                <w:rFonts w:hint="eastAsia" w:ascii="仿宋_GB2312" w:hAnsi="宋体" w:eastAsia="仿宋_GB2312" w:cs="宋体"/>
                <w:bCs/>
                <w:sz w:val="24"/>
              </w:rPr>
              <w:t>19.90</w:t>
            </w:r>
          </w:p>
        </w:tc>
        <w:tc>
          <w:tcPr>
            <w:tcW w:w="1917" w:type="dxa"/>
            <w:vMerge w:val="continue"/>
            <w:vAlign w:val="center"/>
          </w:tcPr>
          <w:p w14:paraId="4E8CBC91">
            <w:pPr>
              <w:widowControl/>
              <w:adjustRightInd w:val="0"/>
              <w:snapToGrid w:val="0"/>
              <w:spacing w:line="600" w:lineRule="exact"/>
              <w:jc w:val="center"/>
              <w:rPr>
                <w:rFonts w:ascii="仿宋_GB2312" w:eastAsia="仿宋_GB2312" w:cs="仿宋_GB2312"/>
                <w:sz w:val="24"/>
              </w:rPr>
            </w:pPr>
          </w:p>
        </w:tc>
      </w:tr>
      <w:tr w14:paraId="00FA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54" w:type="dxa"/>
            <w:vMerge w:val="continue"/>
            <w:vAlign w:val="center"/>
          </w:tcPr>
          <w:p w14:paraId="2D92B0FC">
            <w:pPr>
              <w:widowControl/>
              <w:adjustRightInd w:val="0"/>
              <w:snapToGrid w:val="0"/>
              <w:spacing w:line="600" w:lineRule="exact"/>
              <w:jc w:val="center"/>
              <w:rPr>
                <w:rFonts w:ascii="仿宋_GB2312" w:eastAsia="仿宋_GB2312" w:cs="仿宋_GB2312"/>
                <w:sz w:val="24"/>
              </w:rPr>
            </w:pPr>
          </w:p>
        </w:tc>
        <w:tc>
          <w:tcPr>
            <w:tcW w:w="3808" w:type="dxa"/>
            <w:gridSpan w:val="2"/>
            <w:vAlign w:val="center"/>
          </w:tcPr>
          <w:p w14:paraId="54159462">
            <w:pPr>
              <w:widowControl/>
              <w:adjustRightInd w:val="0"/>
              <w:snapToGrid w:val="0"/>
              <w:spacing w:line="600" w:lineRule="exact"/>
              <w:jc w:val="center"/>
              <w:rPr>
                <w:rFonts w:ascii="仿宋_GB2312" w:eastAsia="仿宋_GB2312" w:cs="仿宋_GB2312"/>
                <w:sz w:val="24"/>
              </w:rPr>
            </w:pPr>
            <w:r>
              <w:rPr>
                <w:rFonts w:hint="eastAsia" w:ascii="仿宋_GB2312" w:hAnsi="宋体" w:eastAsia="仿宋_GB2312" w:cs="宋体"/>
                <w:bCs/>
                <w:color w:val="000000"/>
                <w:kern w:val="0"/>
                <w:sz w:val="24"/>
                <w:lang w:bidi="ar"/>
              </w:rPr>
              <w:t xml:space="preserve">合计：25,444.1568 </w:t>
            </w:r>
          </w:p>
        </w:tc>
        <w:tc>
          <w:tcPr>
            <w:tcW w:w="1701" w:type="dxa"/>
            <w:vAlign w:val="center"/>
          </w:tcPr>
          <w:p w14:paraId="683D97CF">
            <w:pPr>
              <w:widowControl/>
              <w:adjustRightInd w:val="0"/>
              <w:snapToGrid w:val="0"/>
              <w:spacing w:line="600" w:lineRule="exact"/>
              <w:jc w:val="center"/>
              <w:rPr>
                <w:rFonts w:ascii="仿宋_GB2312" w:hAnsi="宋体" w:eastAsia="仿宋_GB2312" w:cs="宋体"/>
                <w:bCs/>
                <w:color w:val="000000"/>
                <w:kern w:val="0"/>
                <w:sz w:val="24"/>
                <w:lang w:bidi="ar"/>
              </w:rPr>
            </w:pPr>
            <w:r>
              <w:rPr>
                <w:rFonts w:hint="eastAsia" w:ascii="仿宋_GB2312" w:hAnsi="宋体" w:eastAsia="仿宋_GB2312" w:cs="宋体"/>
                <w:bCs/>
                <w:color w:val="000000"/>
                <w:kern w:val="0"/>
                <w:sz w:val="24"/>
                <w:lang w:bidi="ar"/>
              </w:rPr>
              <w:t>100</w:t>
            </w:r>
          </w:p>
        </w:tc>
        <w:tc>
          <w:tcPr>
            <w:tcW w:w="1917" w:type="dxa"/>
            <w:vMerge w:val="continue"/>
            <w:vAlign w:val="center"/>
          </w:tcPr>
          <w:p w14:paraId="239EF5CC">
            <w:pPr>
              <w:widowControl/>
              <w:adjustRightInd w:val="0"/>
              <w:snapToGrid w:val="0"/>
              <w:spacing w:line="600" w:lineRule="exact"/>
              <w:jc w:val="center"/>
              <w:rPr>
                <w:rFonts w:ascii="仿宋_GB2312" w:eastAsia="仿宋_GB2312" w:cs="仿宋_GB2312"/>
                <w:sz w:val="24"/>
              </w:rPr>
            </w:pPr>
          </w:p>
        </w:tc>
      </w:tr>
    </w:tbl>
    <w:p w14:paraId="43865C11">
      <w:pPr>
        <w:adjustRightInd w:val="0"/>
        <w:snapToGrid w:val="0"/>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注：</w:t>
      </w:r>
      <w:r>
        <w:rPr>
          <w:rFonts w:hint="eastAsia" w:ascii="方正仿宋_GBK" w:hAnsi="方正仿宋_GBK" w:eastAsia="方正仿宋_GBK" w:cs="方正仿宋_GBK"/>
          <w:sz w:val="32"/>
          <w:szCs w:val="32"/>
        </w:rPr>
        <w:t>学院开办资金以《民办非企业单位登记证书》验资金额为准。</w:t>
      </w:r>
    </w:p>
    <w:p w14:paraId="36C22CE3">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第九条  </w:t>
      </w:r>
      <w:r>
        <w:rPr>
          <w:rFonts w:hint="eastAsia" w:ascii="方正仿宋_GBK" w:hAnsi="方正仿宋_GBK" w:eastAsia="方正仿宋_GBK" w:cs="方正仿宋_GBK"/>
          <w:sz w:val="32"/>
          <w:szCs w:val="32"/>
        </w:rPr>
        <w:t>学院举办者依法享有下列权利：</w:t>
      </w:r>
    </w:p>
    <w:p w14:paraId="155822B9">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（一）了解学院的办学状况和财务状况；</w:t>
      </w:r>
    </w:p>
    <w:p w14:paraId="00C1F2B8">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（二）在发起创办学院时，依法制定学院章程草案，负责推选学院首届董事会的组成人员；</w:t>
      </w:r>
    </w:p>
    <w:p w14:paraId="7C4B5D2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（三）根据法律法规和学院章程规定的程序和要求委派代表参加董事会，同时提名推荐校长人选，并依据章程规定的权限行使相应的决策权和管理权；</w:t>
      </w:r>
    </w:p>
    <w:p w14:paraId="60D8558C">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（四）查阅学院董事会会议记录和学院财务会计报告，向董事会提出工作意见和建议；</w:t>
      </w:r>
    </w:p>
    <w:p w14:paraId="1F9225B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（五）法律法规和学院章程规定的其他有关权利。</w:t>
      </w:r>
    </w:p>
    <w:p w14:paraId="12776B11">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第十条  </w:t>
      </w:r>
      <w:r>
        <w:rPr>
          <w:rFonts w:hint="eastAsia" w:ascii="方正仿宋_GBK" w:hAnsi="方正仿宋_GBK" w:eastAsia="方正仿宋_GBK" w:cs="方正仿宋_GBK"/>
          <w:sz w:val="32"/>
          <w:szCs w:val="32"/>
        </w:rPr>
        <w:t>学院举办者依法履行下列义务：</w:t>
      </w:r>
    </w:p>
    <w:p w14:paraId="11B5019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（一）遵守国家法律法规和学院章程；</w:t>
      </w:r>
    </w:p>
    <w:p w14:paraId="0F56FC9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（二）按照国家及地方经济社会发展的需要，根据学院实际，投入办学资金，保障学院各项事业持续健康发展。按时、足额履行出资义务，保证学院必要而稳定的办学经费，保证学院办学条件达到国家相关标准；</w:t>
      </w:r>
    </w:p>
    <w:p w14:paraId="5BDDEC5C">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（三）依法保障学院的法人财产权，不抽逃资金或者挪用办学经费，确保学院经费用于办学，确保学院财产不流失；</w:t>
      </w:r>
    </w:p>
    <w:p w14:paraId="107ED822">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（四）依法保障学院自主办学、自主管理；</w:t>
      </w:r>
    </w:p>
    <w:p w14:paraId="02F5AF7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（五）按规定履行信息披露义务；</w:t>
      </w:r>
    </w:p>
    <w:p w14:paraId="58727EF5">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（六）法律法规规定的其他义务。</w:t>
      </w:r>
    </w:p>
    <w:p w14:paraId="0C41D1E6">
      <w:pPr>
        <w:adjustRightInd w:val="0"/>
        <w:snapToGrid w:val="0"/>
        <w:spacing w:line="560" w:lineRule="exact"/>
        <w:ind w:firstLine="640" w:firstLineChars="200"/>
        <w:rPr>
          <w:rFonts w:ascii="方正仿宋_GBK" w:hAnsi="方正仿宋_GBK" w:eastAsia="方正仿宋_GBK" w:cs="方正仿宋_GBK"/>
          <w:sz w:val="32"/>
          <w:szCs w:val="32"/>
        </w:rPr>
      </w:pPr>
    </w:p>
    <w:p w14:paraId="155B4ECE">
      <w:pPr>
        <w:spacing w:line="560" w:lineRule="exact"/>
        <w:jc w:val="center"/>
        <w:outlineLvl w:val="0"/>
        <w:rPr>
          <w:rFonts w:ascii="方正黑体_GBK" w:hAnsi="方正黑体_GBK" w:eastAsia="方正黑体_GBK" w:cs="方正黑体_GBK"/>
          <w:sz w:val="32"/>
          <w:szCs w:val="32"/>
        </w:rPr>
      </w:pPr>
      <w:bookmarkStart w:id="3" w:name="_Toc23068"/>
      <w:r>
        <w:rPr>
          <w:rFonts w:hint="eastAsia" w:ascii="方正黑体_GBK" w:hAnsi="方正黑体_GBK" w:eastAsia="方正黑体_GBK" w:cs="方正黑体_GBK"/>
          <w:sz w:val="32"/>
          <w:szCs w:val="32"/>
        </w:rPr>
        <w:t>第三章  党的建设和群团组织</w:t>
      </w:r>
      <w:bookmarkEnd w:id="3"/>
    </w:p>
    <w:p w14:paraId="25686721">
      <w:pPr>
        <w:adjustRightInd w:val="0"/>
        <w:snapToGrid w:val="0"/>
        <w:spacing w:line="560" w:lineRule="exact"/>
        <w:jc w:val="center"/>
        <w:outlineLvl w:val="1"/>
        <w:rPr>
          <w:rFonts w:ascii="方正仿宋_GBK" w:hAnsi="方正仿宋_GBK" w:eastAsia="方正仿宋_GBK" w:cs="方正仿宋_GBK"/>
          <w:b/>
          <w:bCs/>
          <w:sz w:val="32"/>
          <w:szCs w:val="32"/>
        </w:rPr>
      </w:pPr>
      <w:bookmarkStart w:id="4" w:name="_Toc30117"/>
      <w:r>
        <w:rPr>
          <w:rFonts w:hint="eastAsia" w:ascii="方正仿宋_GBK" w:hAnsi="方正仿宋_GBK" w:eastAsia="方正仿宋_GBK" w:cs="方正仿宋_GBK"/>
          <w:b/>
          <w:bCs/>
          <w:sz w:val="32"/>
          <w:szCs w:val="32"/>
        </w:rPr>
        <w:t>第一节  党的基层组织</w:t>
      </w:r>
      <w:bookmarkEnd w:id="4"/>
    </w:p>
    <w:p w14:paraId="67797EC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第十一条  </w:t>
      </w:r>
      <w:r>
        <w:rPr>
          <w:rFonts w:hint="eastAsia" w:ascii="方正仿宋_GBK" w:hAnsi="方正仿宋_GBK" w:eastAsia="方正仿宋_GBK" w:cs="方正仿宋_GBK"/>
          <w:bCs/>
          <w:sz w:val="32"/>
          <w:szCs w:val="32"/>
        </w:rPr>
        <w:t>学院</w:t>
      </w:r>
      <w:r>
        <w:rPr>
          <w:rFonts w:hint="eastAsia" w:ascii="方正仿宋_GBK" w:hAnsi="方正仿宋_GBK" w:eastAsia="方正仿宋_GBK" w:cs="方正仿宋_GBK"/>
          <w:sz w:val="32"/>
          <w:szCs w:val="32"/>
        </w:rPr>
        <w:t>建立中国共产党重庆科创职业学院委员会，按照中国共产党章程的规定开展党的活动，加强党的建设。党组织关系隶属于中共重庆市委教育工作委员会。</w:t>
      </w:r>
    </w:p>
    <w:p w14:paraId="0E32E12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第十二条  </w:t>
      </w:r>
      <w:r>
        <w:rPr>
          <w:rFonts w:hint="eastAsia" w:ascii="方正仿宋_GBK" w:hAnsi="方正仿宋_GBK" w:eastAsia="方正仿宋_GBK" w:cs="方正仿宋_GBK"/>
          <w:sz w:val="32"/>
          <w:szCs w:val="32"/>
        </w:rPr>
        <w:t>中国共产党重庆科创职业学院委员会（以下简称“学院党委”），是党在学院中的战斗堡垒，其政治核心作用主要体现在：（1）保证政治方向；（2）凝聚师生员工；（3）推动学校发展；（4）引领校园文化；（5）参与人事管理和服务；（6）加强自身建设。坚持以党的政治建设为统领，把抓好思想政治工作和德育工作作为首要政治责任，全面加强学院党建工作。坚持教育必须为社会主义现代化建设服务、为人民服务，必须与生产劳动和社会实践相结合，培养德智体美劳全面发展的社会主义建设者和接班人。</w:t>
      </w:r>
    </w:p>
    <w:p w14:paraId="11DDC046">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第十三条  </w:t>
      </w:r>
      <w:r>
        <w:rPr>
          <w:rFonts w:hint="eastAsia" w:ascii="方正仿宋_GBK" w:hAnsi="方正仿宋_GBK" w:eastAsia="方正仿宋_GBK" w:cs="方正仿宋_GBK"/>
          <w:sz w:val="32"/>
          <w:szCs w:val="32"/>
        </w:rPr>
        <w:t>学院党委设书记1名、副书记2名。书记由上级党组织选派，副书记由学院党员大会或党员代表大会选举产生。</w:t>
      </w:r>
    </w:p>
    <w:p w14:paraId="1C69EC28">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第十四条  </w:t>
      </w:r>
      <w:r>
        <w:rPr>
          <w:rFonts w:hint="eastAsia" w:ascii="方正仿宋_GBK" w:hAnsi="方正仿宋_GBK" w:eastAsia="方正仿宋_GBK" w:cs="方正仿宋_GBK"/>
          <w:sz w:val="32"/>
          <w:szCs w:val="32"/>
        </w:rPr>
        <w:t>学院党组织领导班子与学院决策层、管理层“双向进入，交叉任职”，学院党组织领导班子成员通过法定程序进入学院董事会和行政管理机构，党员校长、副校长等行政领导班子成员可按照党的有关规定进入党组织领导班子。</w:t>
      </w:r>
    </w:p>
    <w:p w14:paraId="42013B60">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第十五条  </w:t>
      </w:r>
      <w:r>
        <w:rPr>
          <w:rFonts w:hint="eastAsia" w:ascii="方正仿宋_GBK" w:hAnsi="方正仿宋_GBK" w:eastAsia="方正仿宋_GBK" w:cs="方正仿宋_GBK"/>
          <w:sz w:val="32"/>
          <w:szCs w:val="32"/>
        </w:rPr>
        <w:t>建立健全党组织参与决策和监督制度。涉及全面从严治党、党的建设、思想政治工作和德育工作等事项，由学院党委会议研究决定；涉及学院办学定位、发展规划、重要改革、人事安排和师生员工切身利益等重大事项，学院党委参与讨论研究，经学院党委会议研究同意后再提交董事会作出决定；涉及教师引进、课程建设、教材选用、学术活动、对外交流等事项，学校党委把好政治关。建立健全学院党委与董事会、监事会日常沟通协商制度，学院党委与行政领导班子联席会议制度，以及二级学院党政联席会议制度；强化学院党委对学院重要决策实施的监督，定期组织党员、教职工代表等听取校长工作报告以及学院重大事项情况通报。</w:t>
      </w:r>
    </w:p>
    <w:p w14:paraId="2E4FD6B3">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第十六条  </w:t>
      </w:r>
      <w:r>
        <w:rPr>
          <w:rFonts w:hint="eastAsia" w:ascii="方正仿宋_GBK" w:hAnsi="方正仿宋_GBK" w:eastAsia="方正仿宋_GBK" w:cs="方正仿宋_GBK"/>
          <w:sz w:val="32"/>
          <w:szCs w:val="32"/>
        </w:rPr>
        <w:t>学院党委依据《中国共产党普通高等学校基层组织工作条例》，在二级单位和部门建立党总支或党支部，监督党的教育方针贯彻落实，巩固马克思主义在学院意识形态领域的指导地位，加强思想政治引领，筑牢师生理想信念根基。</w:t>
      </w:r>
    </w:p>
    <w:p w14:paraId="6374F392">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第十七条  </w:t>
      </w:r>
      <w:r>
        <w:rPr>
          <w:rFonts w:hint="eastAsia" w:ascii="方正仿宋_GBK" w:hAnsi="方正仿宋_GBK" w:eastAsia="方正仿宋_GBK" w:cs="方正仿宋_GBK"/>
          <w:sz w:val="32"/>
          <w:szCs w:val="32"/>
        </w:rPr>
        <w:t>加强党员队伍建设。做好发展党员工作，严格党的组织生活，规范党员组织关系管理，从严从实抓好党员教育管理。</w:t>
      </w:r>
    </w:p>
    <w:p w14:paraId="54B90913">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第十八条  </w:t>
      </w:r>
      <w:r>
        <w:rPr>
          <w:rFonts w:hint="eastAsia" w:ascii="方正仿宋_GBK" w:hAnsi="方正仿宋_GBK" w:eastAsia="方正仿宋_GBK" w:cs="方正仿宋_GBK"/>
          <w:sz w:val="32"/>
          <w:szCs w:val="32"/>
        </w:rPr>
        <w:t>加强思想政治教育和意识形态工作。学院党委领导学院思想政治工作，推动习近平新时代中国特色社会主义思想进教材进课堂进头脑，抓好学生德育工作，把思想政治教育融入学生学习生活各环节，促进全员全过程全方位育人，巩固学院思想文化和意识形态阵地。重视师德师风建设，加强思想政治工作队伍建设，加强意识形态领域风险防控，落实思想政治教育和意识形态工作责任制，切实维护学院和谐稳定。</w:t>
      </w:r>
    </w:p>
    <w:p w14:paraId="682DA40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第十九条  </w:t>
      </w:r>
      <w:r>
        <w:rPr>
          <w:rFonts w:hint="eastAsia" w:ascii="方正仿宋_GBK" w:hAnsi="方正仿宋_GBK" w:eastAsia="方正仿宋_GBK" w:cs="方正仿宋_GBK"/>
          <w:sz w:val="32"/>
          <w:szCs w:val="32"/>
        </w:rPr>
        <w:t>加强统一战线工作，做好党外人士思想政治和队伍建设工作，支持统战组织、团体建设，发挥民主党派、无党派人士等统战成员的作用。</w:t>
      </w:r>
    </w:p>
    <w:p w14:paraId="75353557">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第二十条  </w:t>
      </w:r>
      <w:r>
        <w:rPr>
          <w:rFonts w:hint="eastAsia" w:ascii="方正仿宋_GBK" w:hAnsi="方正仿宋_GBK" w:eastAsia="方正仿宋_GBK" w:cs="方正仿宋_GBK"/>
          <w:sz w:val="32"/>
          <w:szCs w:val="32"/>
        </w:rPr>
        <w:t>依据中国共产党章程，设立中国共产党重庆科创职业学院纪律检查委员会（以下简称“学院纪委”），加强党内纪律检查监督。学院纪委由党员大会或党员代表大会选举产生，在学院党委和上级纪委领导下开展工作。各总支部委员会和支部委员会设纪律检查委员。</w:t>
      </w:r>
    </w:p>
    <w:p w14:paraId="5F2F3599">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第二十一条  </w:t>
      </w:r>
      <w:r>
        <w:rPr>
          <w:rFonts w:hint="eastAsia" w:ascii="方正仿宋_GBK" w:hAnsi="方正仿宋_GBK" w:eastAsia="方正仿宋_GBK" w:cs="方正仿宋_GBK"/>
          <w:sz w:val="32"/>
          <w:szCs w:val="32"/>
        </w:rPr>
        <w:t>健全党的工作机构，设立党建工作部门，按有关规定配备专兼职党务工作人员，从事党的组织、宣传、统战、纪检等方面工作。落实党建经费、活动场所等方面的保障机制，党组织活动经费列入学院年度经费预算。</w:t>
      </w:r>
    </w:p>
    <w:p w14:paraId="2E8418B5">
      <w:pPr>
        <w:adjustRightInd w:val="0"/>
        <w:snapToGrid w:val="0"/>
        <w:spacing w:line="560" w:lineRule="exact"/>
        <w:jc w:val="center"/>
        <w:outlineLvl w:val="1"/>
        <w:rPr>
          <w:rFonts w:ascii="方正仿宋_GBK" w:hAnsi="方正仿宋_GBK" w:eastAsia="方正仿宋_GBK" w:cs="方正仿宋_GBK"/>
          <w:b/>
          <w:bCs/>
          <w:sz w:val="32"/>
          <w:szCs w:val="32"/>
        </w:rPr>
      </w:pPr>
      <w:bookmarkStart w:id="5" w:name="_Toc7944"/>
      <w:r>
        <w:rPr>
          <w:rFonts w:hint="eastAsia" w:ascii="方正仿宋_GBK" w:hAnsi="方正仿宋_GBK" w:eastAsia="方正仿宋_GBK" w:cs="方正仿宋_GBK"/>
          <w:b/>
          <w:bCs/>
          <w:sz w:val="32"/>
          <w:szCs w:val="32"/>
        </w:rPr>
        <w:t>第二节  教代会与群团组织</w:t>
      </w:r>
      <w:bookmarkEnd w:id="5"/>
    </w:p>
    <w:p w14:paraId="7A9FDC8A">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第二十二条  </w:t>
      </w:r>
      <w:r>
        <w:rPr>
          <w:rFonts w:hint="eastAsia" w:ascii="方正仿宋_GBK" w:hAnsi="方正仿宋_GBK" w:eastAsia="方正仿宋_GBK" w:cs="方正仿宋_GBK"/>
          <w:sz w:val="32"/>
          <w:szCs w:val="32"/>
        </w:rPr>
        <w:t>学院建立教职工代表大会、工会、妇联、共青团、学生代表大会等组织，依法保障其活动条件，积极支持其工作开展，实行民主管理，开展民主监督，保障教职工与学生的合法权益。</w:t>
      </w:r>
    </w:p>
    <w:p w14:paraId="6E84075A">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第二十三条  </w:t>
      </w:r>
      <w:r>
        <w:rPr>
          <w:rFonts w:hint="eastAsia" w:ascii="方正仿宋_GBK" w:hAnsi="方正仿宋_GBK" w:eastAsia="方正仿宋_GBK" w:cs="方正仿宋_GBK"/>
          <w:sz w:val="32"/>
          <w:szCs w:val="32"/>
        </w:rPr>
        <w:t>学院教职工代表大会是教职工依法参与学院民主决策、民主管理和民主监督的基本形式。教职工代表由民主选举产生。学院教职工代表大会每五年为一届，在学院党委领导下开展工作。二级单位根据实际情况建立教代会分会。</w:t>
      </w:r>
    </w:p>
    <w:p w14:paraId="241343AA">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第二十四条  </w:t>
      </w:r>
      <w:r>
        <w:rPr>
          <w:rFonts w:hint="eastAsia" w:ascii="方正仿宋_GBK" w:hAnsi="方正仿宋_GBK" w:eastAsia="方正仿宋_GBK" w:cs="方正仿宋_GBK"/>
          <w:sz w:val="32"/>
          <w:szCs w:val="32"/>
        </w:rPr>
        <w:t>教职工代表大会依法行使以下职权：</w:t>
      </w:r>
    </w:p>
    <w:p w14:paraId="3D4F228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（一）听取校长工作报告、财务工作报告、工会工作报告以及其他专项工作报告，提出意见和建议；</w:t>
      </w:r>
    </w:p>
    <w:p w14:paraId="3B3D42A6">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（二）听取学院发展规划、教职工队伍建设、教育教学改革、校园建设以及其他重大改革报告，提出意见和建议；</w:t>
      </w:r>
    </w:p>
    <w:p w14:paraId="2F21B646">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（三）讨论通过与教职工切身利益相关的重大事项和重要规章制度；</w:t>
      </w:r>
    </w:p>
    <w:p w14:paraId="61504F2A">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（四）审议学院上一届（次）教职工代表大会提案的办理情况报告；</w:t>
      </w:r>
    </w:p>
    <w:p w14:paraId="798EB57B">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（五）通过多种方式对学院工作提出意见和建议，监督学院章程、规章制度和决策的落实，提出整改意见和建议；</w:t>
      </w:r>
    </w:p>
    <w:p w14:paraId="1139FC0B">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（六）法律法规规定的其他职权。</w:t>
      </w:r>
    </w:p>
    <w:p w14:paraId="334499C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第二十五条  </w:t>
      </w:r>
      <w:r>
        <w:rPr>
          <w:rFonts w:hint="eastAsia" w:ascii="方正仿宋_GBK" w:hAnsi="方正仿宋_GBK" w:eastAsia="方正仿宋_GBK" w:cs="方正仿宋_GBK"/>
          <w:sz w:val="32"/>
          <w:szCs w:val="32"/>
        </w:rPr>
        <w:t>教职工代表大会原则上每年举行1次，会议须有2/3以上教职工代表出席方可举行。</w:t>
      </w:r>
    </w:p>
    <w:p w14:paraId="258A7B1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第二十六条  </w:t>
      </w:r>
      <w:r>
        <w:rPr>
          <w:rFonts w:hint="eastAsia" w:ascii="方正仿宋_GBK" w:hAnsi="方正仿宋_GBK" w:eastAsia="方正仿宋_GBK" w:cs="方正仿宋_GBK"/>
          <w:sz w:val="32"/>
          <w:szCs w:val="32"/>
        </w:rPr>
        <w:t>学院尊重和支持教职工代表大会行使民主决策、民主管理和民主监督的职权。</w:t>
      </w:r>
    </w:p>
    <w:p w14:paraId="1263EA46">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第二十七条  </w:t>
      </w:r>
      <w:r>
        <w:rPr>
          <w:rFonts w:hint="eastAsia" w:ascii="方正仿宋_GBK" w:hAnsi="方正仿宋_GBK" w:eastAsia="方正仿宋_GBK" w:cs="方正仿宋_GBK"/>
          <w:sz w:val="32"/>
          <w:szCs w:val="32"/>
        </w:rPr>
        <w:t>学院工会是教职工自愿参加的群众组织，按照《中华人民共和国工会法》和《中国工会章程》开展工作，在学院党委和上级工会领导下，履行工会职责。二级单位和部门按照要求建立分工会组织。</w:t>
      </w:r>
    </w:p>
    <w:p w14:paraId="2AEEDA07">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第二十八条  </w:t>
      </w:r>
      <w:r>
        <w:rPr>
          <w:rFonts w:hint="eastAsia" w:ascii="方正仿宋_GBK" w:hAnsi="方正仿宋_GBK" w:eastAsia="方正仿宋_GBK" w:cs="方正仿宋_GBK"/>
          <w:sz w:val="32"/>
          <w:szCs w:val="32"/>
        </w:rPr>
        <w:t>学院工会应密切联系教职工，听取和反映教职工的意见和要求，开展有益于教职工身心健康的活动，关心教职工生活，帮助教职工解决困难。</w:t>
      </w:r>
    </w:p>
    <w:p w14:paraId="45935DC3">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第二十九条  </w:t>
      </w:r>
      <w:r>
        <w:rPr>
          <w:rFonts w:hint="eastAsia" w:ascii="方正仿宋_GBK" w:hAnsi="方正仿宋_GBK" w:eastAsia="方正仿宋_GBK" w:cs="方正仿宋_GBK"/>
          <w:sz w:val="32"/>
          <w:szCs w:val="32"/>
        </w:rPr>
        <w:t>学院工会有权对损害教职员工合法权益的行为提出意见或者要求纠正，教职员工申请仲裁、提起诉讼的，工会支持帮助其维护正当权益。</w:t>
      </w:r>
    </w:p>
    <w:p w14:paraId="5B7B7E33">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第三十条  </w:t>
      </w:r>
      <w:r>
        <w:rPr>
          <w:rFonts w:hint="eastAsia" w:ascii="方正仿宋_GBK" w:hAnsi="方正仿宋_GBK" w:eastAsia="方正仿宋_GBK" w:cs="方正仿宋_GBK"/>
          <w:sz w:val="32"/>
          <w:szCs w:val="32"/>
        </w:rPr>
        <w:t>中国妇女联合会重庆科创职业学院委员会是妇联在学院的基层组织。学院妇联在学院党委和上级妇联领导下，按照相关法律法规、《中国妇女联合会章程》及学院规章制度开展活动。</w:t>
      </w:r>
    </w:p>
    <w:p w14:paraId="00BC41A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第三十一条  </w:t>
      </w:r>
      <w:r>
        <w:rPr>
          <w:rFonts w:hint="eastAsia" w:ascii="方正仿宋_GBK" w:hAnsi="方正仿宋_GBK" w:eastAsia="方正仿宋_GBK" w:cs="方正仿宋_GBK"/>
          <w:sz w:val="32"/>
          <w:szCs w:val="32"/>
        </w:rPr>
        <w:t>中国共青团重庆科创职业学院委员会是共青团在学院的基层组织，在学院党委和上级团委领导下，按照《中国共产主义青年团章程》开展活动。</w:t>
      </w:r>
    </w:p>
    <w:p w14:paraId="45BE5E50">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第三十二条  </w:t>
      </w:r>
      <w:r>
        <w:rPr>
          <w:rFonts w:hint="eastAsia" w:ascii="方正仿宋_GBK" w:hAnsi="方正仿宋_GBK" w:eastAsia="方正仿宋_GBK" w:cs="方正仿宋_GBK"/>
          <w:sz w:val="32"/>
          <w:szCs w:val="32"/>
        </w:rPr>
        <w:t>学院学生代表大会是全院学生依法依规行使民主权利、参与学院治理的机构，是学院联系广大同学的桥梁和纽带，在党组织的领导和团组织的指导下，依照法律法规、学院规章制度和学生会章程开展工作。</w:t>
      </w:r>
    </w:p>
    <w:p w14:paraId="2ACD90B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第三十三条  </w:t>
      </w:r>
      <w:r>
        <w:rPr>
          <w:rFonts w:hint="eastAsia" w:ascii="方正仿宋_GBK" w:hAnsi="方正仿宋_GBK" w:eastAsia="方正仿宋_GBK" w:cs="方正仿宋_GBK"/>
          <w:sz w:val="32"/>
          <w:szCs w:val="32"/>
        </w:rPr>
        <w:t>学院为校内民主党派组织、社会团体及无党派人士参与民主管理和监督创造条件，鼓励为学院发展建言献策。校内各民主党派组织和社会团体依照法律法规及其章程开展活动。</w:t>
      </w:r>
    </w:p>
    <w:p w14:paraId="2AD1FADB">
      <w:pPr>
        <w:adjustRightInd w:val="0"/>
        <w:snapToGrid w:val="0"/>
        <w:spacing w:line="560" w:lineRule="exact"/>
        <w:ind w:firstLine="640" w:firstLineChars="200"/>
        <w:rPr>
          <w:rFonts w:ascii="方正仿宋_GBK" w:hAnsi="方正仿宋_GBK" w:eastAsia="方正仿宋_GBK" w:cs="方正仿宋_GBK"/>
          <w:sz w:val="32"/>
          <w:szCs w:val="32"/>
        </w:rPr>
      </w:pPr>
    </w:p>
    <w:p w14:paraId="736905EC">
      <w:pPr>
        <w:spacing w:line="560" w:lineRule="exact"/>
        <w:jc w:val="center"/>
        <w:outlineLvl w:val="0"/>
        <w:rPr>
          <w:rFonts w:ascii="方正黑体_GBK" w:hAnsi="方正黑体_GBK" w:eastAsia="方正黑体_GBK" w:cs="方正黑体_GBK"/>
          <w:sz w:val="32"/>
          <w:szCs w:val="32"/>
        </w:rPr>
      </w:pPr>
      <w:bookmarkStart w:id="6" w:name="_Toc26007"/>
      <w:r>
        <w:rPr>
          <w:rFonts w:hint="eastAsia" w:ascii="方正黑体_GBK" w:hAnsi="方正黑体_GBK" w:eastAsia="方正黑体_GBK" w:cs="方正黑体_GBK"/>
          <w:sz w:val="32"/>
          <w:szCs w:val="32"/>
        </w:rPr>
        <w:t>第四章  决策机制与管理体制</w:t>
      </w:r>
      <w:bookmarkEnd w:id="6"/>
    </w:p>
    <w:p w14:paraId="43073E34">
      <w:pPr>
        <w:adjustRightInd w:val="0"/>
        <w:snapToGrid w:val="0"/>
        <w:spacing w:line="560" w:lineRule="exact"/>
        <w:jc w:val="center"/>
        <w:outlineLvl w:val="1"/>
        <w:rPr>
          <w:rFonts w:ascii="方正仿宋_GBK" w:hAnsi="方正仿宋_GBK" w:eastAsia="方正仿宋_GBK" w:cs="方正仿宋_GBK"/>
          <w:b/>
          <w:bCs/>
          <w:sz w:val="32"/>
          <w:szCs w:val="32"/>
        </w:rPr>
      </w:pPr>
      <w:bookmarkStart w:id="7" w:name="_Toc26039"/>
      <w:r>
        <w:rPr>
          <w:rFonts w:hint="eastAsia" w:ascii="方正仿宋_GBK" w:hAnsi="方正仿宋_GBK" w:eastAsia="方正仿宋_GBK" w:cs="方正仿宋_GBK"/>
          <w:b/>
          <w:bCs/>
          <w:sz w:val="32"/>
          <w:szCs w:val="32"/>
        </w:rPr>
        <w:t>第一节  董事会</w:t>
      </w:r>
      <w:bookmarkEnd w:id="7"/>
    </w:p>
    <w:p w14:paraId="366B0A88">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第三十四条  </w:t>
      </w:r>
      <w:r>
        <w:rPr>
          <w:rFonts w:hint="eastAsia" w:ascii="方正仿宋_GBK" w:hAnsi="方正仿宋_GBK" w:eastAsia="方正仿宋_GBK" w:cs="方正仿宋_GBK"/>
          <w:sz w:val="32"/>
          <w:szCs w:val="32"/>
        </w:rPr>
        <w:t>学院依据相关法律法规设立董事会。董事会为学院的决策机构，依法行使决策权。</w:t>
      </w:r>
    </w:p>
    <w:p w14:paraId="21D4E4C5">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第三十五条  </w:t>
      </w:r>
      <w:r>
        <w:rPr>
          <w:rFonts w:hint="eastAsia" w:ascii="方正仿宋_GBK" w:hAnsi="方正仿宋_GBK" w:eastAsia="方正仿宋_GBK" w:cs="方正仿宋_GBK"/>
          <w:sz w:val="32"/>
          <w:szCs w:val="32"/>
        </w:rPr>
        <w:t>学院董事会成员7人，由举办者代表3人、校长1人、党委书记1人及教职工代表2人组成。</w:t>
      </w:r>
    </w:p>
    <w:p w14:paraId="716A20B0">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董事会中的举办者代表由举办者提名委派。党委书记经上级党组织任命或批复同意，经法定程序进入董事会。校长经董事会聘任后自然成为董事会成员，任期届满后自动退出董事会或者经董事会同意可继续担任成员。教职工代表由学校教职工代表大会推选。</w:t>
      </w:r>
    </w:p>
    <w:p w14:paraId="66E3DCB9">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董事会每届任期5年，任届期满后，应按照登记管理机关或学院章程的规定开展换届工作。董事会成员可依法连任。</w:t>
      </w:r>
    </w:p>
    <w:p w14:paraId="18F66B9D">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学院董事会设董事长1人。董事长由全体董事的2/3及以上选举产生。</w:t>
      </w:r>
    </w:p>
    <w:p w14:paraId="37850826">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董事长任职条件：董事长应当具有中华人民共和国国籍，具有政治权利和完全民事行为能力，在中国境内定居，品行良好，无故意犯罪记录或者教育领域不良从业记录。</w:t>
      </w:r>
    </w:p>
    <w:p w14:paraId="2DA5060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董事会成员任职条件：董事会成员应当遵守国家法律法规，具有完全民事行为能力，品行良好，身体健康，能正常履职，原则上年龄不超过70周岁。其中1/3以上的成员应当具有5年以上高等教育教学经验。成员应当及时报审批机关备案。董事会成员变更，在董事会作出同意变更决议后15个工作日内，须向审批机关提出备案申请并提交备案材料。</w:t>
      </w:r>
    </w:p>
    <w:p w14:paraId="2B06E010">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第三十六条  </w:t>
      </w:r>
      <w:r>
        <w:rPr>
          <w:rFonts w:hint="eastAsia" w:ascii="方正仿宋_GBK" w:hAnsi="方正仿宋_GBK" w:eastAsia="方正仿宋_GBK" w:cs="方正仿宋_GBK"/>
          <w:sz w:val="32"/>
          <w:szCs w:val="32"/>
        </w:rPr>
        <w:t>董事会依法行使下列职权：</w:t>
      </w:r>
    </w:p>
    <w:p w14:paraId="07A2E8D4">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（一）选举任免董事长、执行董事和董事，增补董事、罢免董事；</w:t>
      </w:r>
    </w:p>
    <w:p w14:paraId="21EA85E8">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（二）聘任和解聘校长；</w:t>
      </w:r>
    </w:p>
    <w:p w14:paraId="14F9C53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（三）修改学院章程和审定学院规章制度；</w:t>
      </w:r>
    </w:p>
    <w:p w14:paraId="65CAAAF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（四）审定学院发展规划，批准年度工作计划；</w:t>
      </w:r>
    </w:p>
    <w:p w14:paraId="4D3BAF84">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（五）筹集办学经费，审核预算和决算；</w:t>
      </w:r>
    </w:p>
    <w:p w14:paraId="46E10445">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（六）决定学院内部机构设置和有关人事任免；</w:t>
      </w:r>
    </w:p>
    <w:p w14:paraId="19E95D5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（七）决定教职工编制定额和薪资方案；</w:t>
      </w:r>
    </w:p>
    <w:p w14:paraId="1D9B0684">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（八）决定学院的分立、变更、合并和终止；</w:t>
      </w:r>
    </w:p>
    <w:p w14:paraId="2EB7405A">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（九）决定其他重大事项。</w:t>
      </w:r>
    </w:p>
    <w:p w14:paraId="40AED253">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第三十七条  </w:t>
      </w:r>
      <w:r>
        <w:rPr>
          <w:rFonts w:hint="eastAsia" w:ascii="方正仿宋_GBK" w:hAnsi="方正仿宋_GBK" w:eastAsia="方正仿宋_GBK" w:cs="方正仿宋_GBK"/>
          <w:sz w:val="32"/>
          <w:szCs w:val="32"/>
        </w:rPr>
        <w:t>董事长依法行使下列职权：</w:t>
      </w:r>
    </w:p>
    <w:p w14:paraId="0F58E1A8">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董事长负责董事会全面工作。根据学院实际可设执行董事1人，协助董事长工作，必要时董事长可授权执行董事代行职权；</w:t>
      </w:r>
    </w:p>
    <w:p w14:paraId="7C2D105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（一）召集和主持董事会会议；</w:t>
      </w:r>
    </w:p>
    <w:p w14:paraId="240EFA35">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（二）检查董事会决议的实施情况；</w:t>
      </w:r>
    </w:p>
    <w:p w14:paraId="4805AE12">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（三）法律法规和本章程规定的其他职权。</w:t>
      </w:r>
    </w:p>
    <w:p w14:paraId="034DC603">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第三十八条  </w:t>
      </w:r>
      <w:r>
        <w:rPr>
          <w:rFonts w:hint="eastAsia" w:ascii="方正仿宋_GBK" w:hAnsi="方正仿宋_GBK" w:eastAsia="方正仿宋_GBK" w:cs="方正仿宋_GBK"/>
          <w:sz w:val="32"/>
          <w:szCs w:val="32"/>
        </w:rPr>
        <w:t>学院的法定代表人由董事长或校长担任，依法代表学院行使职权。</w:t>
      </w:r>
    </w:p>
    <w:p w14:paraId="3EDEB61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有下列情形之一的，不得担任学院的法定代表人：</w:t>
      </w:r>
    </w:p>
    <w:p w14:paraId="500C530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（一）无民事行为能力或者限制民事行为能力的；</w:t>
      </w:r>
    </w:p>
    <w:p w14:paraId="739AF70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（二）正在被执行刑罚或者正在被执行刑事强制措施的；</w:t>
      </w:r>
    </w:p>
    <w:p w14:paraId="45788246">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（三）正在被公安机关或者国家安全机关通缉的；</w:t>
      </w:r>
    </w:p>
    <w:p w14:paraId="14901552">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（四）因犯罪被判处刑罚，执行期满未逾3年，或者因犯罪被判处剥夺政治权利，执行期满未逾5年的；</w:t>
      </w:r>
    </w:p>
    <w:p w14:paraId="4A9F331C">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（五）担任因违法被撤销登记的民办学校的法定代表人，自该单位被撤销登记之日起未逾3年的；</w:t>
      </w:r>
    </w:p>
    <w:p w14:paraId="1EA71BF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（六）非中国内地居民的；</w:t>
      </w:r>
    </w:p>
    <w:p w14:paraId="6C6B849A">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（七）法律法规规定不得担任法定代表人的其他情形。</w:t>
      </w:r>
    </w:p>
    <w:p w14:paraId="679B35B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第三十九条  </w:t>
      </w:r>
      <w:r>
        <w:rPr>
          <w:rFonts w:hint="eastAsia" w:ascii="方正仿宋_GBK" w:hAnsi="方正仿宋_GBK" w:eastAsia="方正仿宋_GBK" w:cs="方正仿宋_GBK"/>
          <w:sz w:val="32"/>
          <w:szCs w:val="32"/>
        </w:rPr>
        <w:t>董事会议事规则：</w:t>
      </w:r>
    </w:p>
    <w:p w14:paraId="6C0E389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董事会每年召开不少于2次会议，董事会会议须有2/3及以上的董事会成员出席方为有效；讨论学院重大事项（1.变更举办者；2.产生、任免董事会成员；3.聘任、解聘校长；4.修改学校章程；5.制定发展规划；6.审核预算、决算；7.决定学校的分立、合并、终止；8.决定学校大额对外投资、资产重组、大宗关联交易等重大事项；9.董事会成员1/3及以上认为重大的其他事项；10.法律法规等及学院章程规定的其他重大事项）须经2/3及以上董事会组成人员同意方能通过。董事长认为必要或经1/3及以上组成人员提议，可以召开临时会议。</w:t>
      </w:r>
    </w:p>
    <w:p w14:paraId="522D6D8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（二）召开董事会会议，应于会议召开10日前将会议的时间、地点、议程等一并通知全体董事和监事长。董事因故不能出席，可以书面委托其他董事代为出席董事会，委托书须载明授权范围。</w:t>
      </w:r>
    </w:p>
    <w:p w14:paraId="35FDEECC">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（三）董事因故辞职应提前3个月提交辞职申请报告，如连续4次因自身原因不能参加董事会会议作自动退出董事会处理，董事会可决定增补新的成员。</w:t>
      </w:r>
    </w:p>
    <w:p w14:paraId="650F9EA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（四）董事会会议须作会议记录，形成决议的须制作会议纪要，由出席会议的董事审议并签名。</w:t>
      </w:r>
    </w:p>
    <w:p w14:paraId="47174C2A">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董事会决议违反法律法规或章程规定致使学院遭受损失的，参与决议的董事须承担责任。但经证明在表决时反对并记载于会议记录的，该董事可免除责任。</w:t>
      </w:r>
    </w:p>
    <w:p w14:paraId="5526843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董事会会议记录和纪要由董事会秘书负责存档保管。</w:t>
      </w:r>
    </w:p>
    <w:p w14:paraId="01BF3A79">
      <w:pPr>
        <w:adjustRightInd w:val="0"/>
        <w:snapToGrid w:val="0"/>
        <w:spacing w:line="560" w:lineRule="exact"/>
        <w:jc w:val="center"/>
        <w:outlineLvl w:val="1"/>
        <w:rPr>
          <w:rFonts w:ascii="方正仿宋_GBK" w:hAnsi="方正仿宋_GBK" w:eastAsia="方正仿宋_GBK" w:cs="方正仿宋_GBK"/>
          <w:b/>
          <w:bCs/>
          <w:sz w:val="32"/>
          <w:szCs w:val="32"/>
        </w:rPr>
      </w:pPr>
      <w:bookmarkStart w:id="8" w:name="_Toc22047"/>
      <w:r>
        <w:rPr>
          <w:rFonts w:hint="eastAsia" w:ascii="方正仿宋_GBK" w:hAnsi="方正仿宋_GBK" w:eastAsia="方正仿宋_GBK" w:cs="方正仿宋_GBK"/>
          <w:b/>
          <w:bCs/>
          <w:sz w:val="32"/>
          <w:szCs w:val="32"/>
        </w:rPr>
        <w:t>第二节  校长和校务会</w:t>
      </w:r>
      <w:bookmarkEnd w:id="8"/>
    </w:p>
    <w:p w14:paraId="5D19A157">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第四十条  </w:t>
      </w:r>
      <w:r>
        <w:rPr>
          <w:rFonts w:hint="eastAsia" w:ascii="方正仿宋_GBK" w:hAnsi="方正仿宋_GBK" w:eastAsia="方正仿宋_GBK" w:cs="方正仿宋_GBK"/>
          <w:sz w:val="32"/>
          <w:szCs w:val="32"/>
        </w:rPr>
        <w:t>学院实行董事会领导下的校长负责制，校长由董事会聘任。校长任期原则上为5年，经董事会续聘可以连任。</w:t>
      </w:r>
    </w:p>
    <w:p w14:paraId="21820323">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第四十一条  </w:t>
      </w:r>
      <w:r>
        <w:rPr>
          <w:rFonts w:hint="eastAsia" w:ascii="方正仿宋_GBK" w:hAnsi="方正仿宋_GBK" w:eastAsia="方正仿宋_GBK" w:cs="方正仿宋_GBK"/>
          <w:sz w:val="32"/>
          <w:szCs w:val="32"/>
        </w:rPr>
        <w:t>校长应当具备相关法规规定的任职条件：</w:t>
      </w:r>
    </w:p>
    <w:p w14:paraId="6DEC38E9">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（一）具有中华人民共和国国籍，在中国国内定居；</w:t>
      </w:r>
    </w:p>
    <w:p w14:paraId="1A63CBF8">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（二）遵守国家法律，具有较高政治素质和管理能力，品德高尚，作风正派，热心社会主义教育事业，熟悉教育及相关法律法规，个人信誉状况良好；</w:t>
      </w:r>
    </w:p>
    <w:p w14:paraId="16EC9B3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（三）年龄不超过70岁，身体健康，能依法履行职责；</w:t>
      </w:r>
    </w:p>
    <w:p w14:paraId="52019E7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（四）具有10年以上高等教育管理经历及高等教育副高以上专业技术职务；</w:t>
      </w:r>
    </w:p>
    <w:p w14:paraId="374DCFA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第四十二条  </w:t>
      </w:r>
      <w:r>
        <w:rPr>
          <w:rFonts w:hint="eastAsia" w:ascii="方正仿宋_GBK" w:hAnsi="方正仿宋_GBK" w:eastAsia="方正仿宋_GBK" w:cs="方正仿宋_GBK"/>
          <w:sz w:val="32"/>
          <w:szCs w:val="32"/>
        </w:rPr>
        <w:t>校长负责教育教学和行政管理工作，通过校务会依法行使下列职权并接受监督：</w:t>
      </w:r>
    </w:p>
    <w:p w14:paraId="680A1044">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（一）执行学院董事会的决定；</w:t>
      </w:r>
    </w:p>
    <w:p w14:paraId="5CEB468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 组织实施发展规划，拟订年度工作计划、财务预算、教职工薪酬待遇、内部组织机构设置方案和学院规章制度；</w:t>
      </w:r>
    </w:p>
    <w:p w14:paraId="49E61352">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（三）聘用和解聘学院工作人员，实施奖惩；</w:t>
      </w:r>
    </w:p>
    <w:p w14:paraId="278940D2">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（四）组织教育教学、科学研究与社会服务等活动，保证教育教学质量；</w:t>
      </w:r>
    </w:p>
    <w:p w14:paraId="24DBA09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（五）负责学院日常管理工作；</w:t>
      </w:r>
    </w:p>
    <w:p w14:paraId="1A0F787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（六）学院章程和董事会的其他授权。</w:t>
      </w:r>
    </w:p>
    <w:p w14:paraId="7E332AE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第四十三条  </w:t>
      </w:r>
      <w:r>
        <w:rPr>
          <w:rFonts w:hint="eastAsia" w:ascii="方正仿宋_GBK" w:hAnsi="方正仿宋_GBK" w:eastAsia="方正仿宋_GBK" w:cs="方正仿宋_GBK"/>
          <w:sz w:val="32"/>
          <w:szCs w:val="32"/>
        </w:rPr>
        <w:t>学院实行目标管理责任制，由校长负责、副校长（含校长助理）分工负责，职能部门、教学单位及相关单位组织实施。</w:t>
      </w:r>
    </w:p>
    <w:p w14:paraId="58C2DEC5">
      <w:pPr>
        <w:adjustRightInd w:val="0"/>
        <w:snapToGrid w:val="0"/>
        <w:spacing w:line="560" w:lineRule="exact"/>
        <w:ind w:firstLine="643" w:firstLineChars="200"/>
        <w:rPr>
          <w:rFonts w:ascii="方正仿宋_GBK" w:hAnsi="方正仿宋_GBK" w:eastAsia="方正仿宋_GBK" w:cs="方正仿宋_GBK"/>
          <w:sz w:val="32"/>
          <w:szCs w:val="32"/>
          <w:highlight w:val="yellow"/>
        </w:rPr>
      </w:pPr>
      <w:r>
        <w:rPr>
          <w:rFonts w:hint="eastAsia" w:ascii="方正仿宋_GBK" w:hAnsi="方正仿宋_GBK" w:eastAsia="方正仿宋_GBK" w:cs="方正仿宋_GBK"/>
          <w:b/>
          <w:bCs/>
          <w:sz w:val="32"/>
          <w:szCs w:val="32"/>
        </w:rPr>
        <w:t xml:space="preserve">第四十四条  </w:t>
      </w:r>
      <w:r>
        <w:rPr>
          <w:rFonts w:hint="eastAsia" w:ascii="方正仿宋_GBK" w:hAnsi="方正仿宋_GBK" w:eastAsia="方正仿宋_GBK" w:cs="方正仿宋_GBK"/>
          <w:sz w:val="32"/>
          <w:szCs w:val="32"/>
        </w:rPr>
        <w:t>学院设立校务会。成员包括校长、副校长和校长助理，同时，视研究事项，党委书记、政府督导专员参加会议。根据需要可邀请有关职能部门负责人及教师和学生代表列席会议。校务会议研究决定学院行政工作中的重要事项和处理相关工作事宜。</w:t>
      </w:r>
    </w:p>
    <w:p w14:paraId="5C350A82">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第四十五条  </w:t>
      </w:r>
      <w:r>
        <w:rPr>
          <w:rFonts w:hint="eastAsia" w:ascii="方正仿宋_GBK" w:hAnsi="方正仿宋_GBK" w:eastAsia="方正仿宋_GBK" w:cs="方正仿宋_GBK"/>
          <w:sz w:val="32"/>
          <w:szCs w:val="32"/>
        </w:rPr>
        <w:t>校务会议事范围：</w:t>
      </w:r>
    </w:p>
    <w:p w14:paraId="67A345D0">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（一）传达贯彻上级领导机关的重要决定、指示和会议精神，结合学院实际，研究制定具体落实措施，检查执行情况。贯彻落实董事会关于学院改革、建设、发展和稳定的重大决定；</w:t>
      </w:r>
    </w:p>
    <w:p w14:paraId="05C45519">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研究拟定学院的发展规划、重要改革方案。研究制定学院学年、学期工作计划。研究审议重要规章制度。研究决定学院各专项工作委员会（领导小组）的设置及人选组成。研究学院向董事会和上级部门提交的请示、报告等重要事项；</w:t>
      </w:r>
    </w:p>
    <w:p w14:paraId="429C6790">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（三）研究审议学院内部行政机构和二级学院（部）的设置，研究审议二级学院（部）的专业设置与调整；</w:t>
      </w:r>
    </w:p>
    <w:p w14:paraId="7DC49E19">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听取分管领导及有关部门重要工作汇报，研究处理教育教学、招生就业、科学研究、社会服务、文化建设、合作交流和行政管理等重要事宜。研究处理后勤保障、公共卫生安全（疫情防控）、安全稳定、校园综合治理等重要事宜；</w:t>
      </w:r>
    </w:p>
    <w:p w14:paraId="71F53EA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（五）研究审定干部任免相关事宜。研究审定教职工评聘方案、师资队伍建设方案、教职工表彰、奖励与处分有关事宜；</w:t>
      </w:r>
    </w:p>
    <w:p w14:paraId="4DA814E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（六）研究审议学院年度财务预决算方案、预算外大额度资金使用项目、教职工绩效薪酬调整方案等事宜。研究审议学院重大项目建设方案和重要设施设备采购方案；</w:t>
      </w:r>
    </w:p>
    <w:p w14:paraId="40D8A618">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（七）研究其他需要经校务会处理的重大问题和突发事件等事项；</w:t>
      </w:r>
    </w:p>
    <w:p w14:paraId="09EFF4C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校务会会议审议通过的下列重大事项，应报董事会审批或同意后方可实施。包括二级学院（部）与职能部门设置调整，专业设置与调整，重要人才引进，财务预决算，大型设施设备购置，重大项目实施，招生就业实施方案，人才培养实施方案，对外签订重要协议，重要管理制度制定，安全稳定重大事项处理等。</w:t>
      </w:r>
    </w:p>
    <w:p w14:paraId="1FCFBFB2">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第四十六条  </w:t>
      </w:r>
      <w:r>
        <w:rPr>
          <w:rFonts w:hint="eastAsia" w:ascii="方正仿宋_GBK" w:hAnsi="方正仿宋_GBK" w:eastAsia="方正仿宋_GBK" w:cs="方正仿宋_GBK"/>
          <w:sz w:val="32"/>
          <w:szCs w:val="32"/>
        </w:rPr>
        <w:t>校务会议事规则：</w:t>
      </w:r>
    </w:p>
    <w:p w14:paraId="65FCC7D6">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（一）校务会会议原则上定期召开，如果校长认为有必要，可临时召开；</w:t>
      </w:r>
    </w:p>
    <w:p w14:paraId="5A563E0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（二）校务会会议由校长召集并主持，议题由校务会成员提出，学院办公室收集汇总，校长确定；</w:t>
      </w:r>
    </w:p>
    <w:p w14:paraId="63351D6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（三）校务会会议必须有半数以上校务会成员到会方能召开。监事会代表、办公室及相关议题部门负责人或教代会代表列席会议；</w:t>
      </w:r>
    </w:p>
    <w:p w14:paraId="7760D2AE">
      <w:pPr>
        <w:adjustRightInd w:val="0"/>
        <w:snapToGrid w:val="0"/>
        <w:spacing w:line="560" w:lineRule="exact"/>
        <w:ind w:firstLine="640" w:firstLineChars="200"/>
        <w:rPr>
          <w:rFonts w:ascii="方正仿宋_GBK" w:hAnsi="方正仿宋_GBK" w:eastAsia="方正仿宋_GBK" w:cs="方正仿宋_GBK"/>
          <w:sz w:val="32"/>
          <w:szCs w:val="32"/>
          <w:highlight w:val="yellow"/>
        </w:rPr>
      </w:pPr>
      <w:r>
        <w:rPr>
          <w:rFonts w:hint="eastAsia" w:ascii="方正仿宋_GBK" w:hAnsi="方正仿宋_GBK" w:eastAsia="方正仿宋_GBK" w:cs="方正仿宋_GBK"/>
          <w:sz w:val="32"/>
          <w:szCs w:val="32"/>
        </w:rPr>
        <w:t>（四）校务会会议实行集体讨论，并作出相应决定。学院领导按照会议决定要求，可组建专门工作班子，并应召开专门会议或组织专项工作协调以推进落实；</w:t>
      </w:r>
    </w:p>
    <w:p w14:paraId="3010240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（五）学院办公室负责会议记录、整理会议纪要等相关会务工作，将会议讨论决定的工作事项通知相关部门，协助校长和其他校领导对会议决议、决定的执行情况进行督办检查，并将落实情况及时向校长报告。</w:t>
      </w:r>
    </w:p>
    <w:p w14:paraId="6EAB354A">
      <w:pPr>
        <w:adjustRightInd w:val="0"/>
        <w:snapToGrid w:val="0"/>
        <w:spacing w:line="560" w:lineRule="exact"/>
        <w:jc w:val="center"/>
        <w:outlineLvl w:val="1"/>
        <w:rPr>
          <w:rFonts w:ascii="方正仿宋_GBK" w:hAnsi="方正仿宋_GBK" w:eastAsia="方正仿宋_GBK" w:cs="方正仿宋_GBK"/>
          <w:b/>
          <w:bCs/>
          <w:sz w:val="32"/>
          <w:szCs w:val="32"/>
        </w:rPr>
      </w:pPr>
      <w:bookmarkStart w:id="9" w:name="_Toc11774"/>
      <w:r>
        <w:rPr>
          <w:rFonts w:hint="eastAsia" w:ascii="方正仿宋_GBK" w:hAnsi="方正仿宋_GBK" w:eastAsia="方正仿宋_GBK" w:cs="方正仿宋_GBK"/>
          <w:b/>
          <w:bCs/>
          <w:sz w:val="32"/>
          <w:szCs w:val="32"/>
        </w:rPr>
        <w:t>第三节  监事会</w:t>
      </w:r>
      <w:bookmarkEnd w:id="9"/>
    </w:p>
    <w:p w14:paraId="39C60D2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第四十七条  </w:t>
      </w:r>
      <w:r>
        <w:rPr>
          <w:rFonts w:hint="eastAsia" w:ascii="方正仿宋_GBK" w:hAnsi="方正仿宋_GBK" w:eastAsia="方正仿宋_GBK" w:cs="方正仿宋_GBK"/>
          <w:sz w:val="32"/>
          <w:szCs w:val="32"/>
        </w:rPr>
        <w:t>学院设立监事会，依法对学院办学行为进行监督。监事会由5名监事成员组成，分别为党组织班子成员1人，党的基层组织代表1人，举办者代表1人（由举办者推荐），教职工代表2人（由教职工代表大会推选产生）。</w:t>
      </w:r>
    </w:p>
    <w:p w14:paraId="60733FA8">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监事会设监事长1名，监事长由学院党委推荐并经监事会选举产生。监事长召集和主持监事会会议，监事长因故不能履行职务的，由半数以上监事会成员共同推举1名监事召集和主持监事会会议。</w:t>
      </w:r>
    </w:p>
    <w:p w14:paraId="6712821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监事会每届任期5年，任期届满符合条件、经过程序可依法连任。学院董事会成员、财务负责人及其近亲属不得兼任或担任监事会成员。</w:t>
      </w:r>
    </w:p>
    <w:p w14:paraId="6B8333A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第四十八条  </w:t>
      </w:r>
      <w:r>
        <w:rPr>
          <w:rFonts w:hint="eastAsia" w:ascii="方正仿宋_GBK" w:hAnsi="方正仿宋_GBK" w:eastAsia="方正仿宋_GBK" w:cs="方正仿宋_GBK"/>
          <w:sz w:val="32"/>
          <w:szCs w:val="32"/>
        </w:rPr>
        <w:t>监事会行使下列职权：</w:t>
      </w:r>
    </w:p>
    <w:p w14:paraId="7C59C55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（一）监督学院的办学活动是否符合党的方针、社会主义办学方向，是否符合法律法规和学院章程的规定；</w:t>
      </w:r>
    </w:p>
    <w:p w14:paraId="6AB6FC0D">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（二）监督董事会、校长等行政机构成员履职情况，当董事会、校长等行政机构成员行为损害学院利益时，要求其予以纠正；</w:t>
      </w:r>
    </w:p>
    <w:p w14:paraId="0676A5D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（三）检查学院财务运行情况，审核学院财务报告，发现问题有权质疑或提请审计；</w:t>
      </w:r>
    </w:p>
    <w:p w14:paraId="6710EA05">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（四）监事长列席董事会会议。监事会或其成员可以根据监督情况，向登记管理单位、业务主管单位及相关部门反映情况；</w:t>
      </w:r>
    </w:p>
    <w:p w14:paraId="11049EE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（五）国家法律法规和学院章程规定的其他职权。</w:t>
      </w:r>
    </w:p>
    <w:p w14:paraId="31E04F4A">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第四十九条  </w:t>
      </w:r>
      <w:r>
        <w:rPr>
          <w:rFonts w:hint="eastAsia" w:ascii="方正仿宋_GBK" w:hAnsi="方正仿宋_GBK" w:eastAsia="方正仿宋_GBK" w:cs="方正仿宋_GBK"/>
          <w:sz w:val="32"/>
          <w:szCs w:val="32"/>
        </w:rPr>
        <w:t>监事会会议每年度召开1-2次。经1/3以上的监事会成员提议，可召开临时监事会会议。</w:t>
      </w:r>
    </w:p>
    <w:p w14:paraId="1AE2E557">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第五十条  </w:t>
      </w:r>
      <w:r>
        <w:rPr>
          <w:rFonts w:hint="eastAsia" w:ascii="方正仿宋_GBK" w:hAnsi="方正仿宋_GBK" w:eastAsia="方正仿宋_GBK" w:cs="方正仿宋_GBK"/>
          <w:sz w:val="32"/>
          <w:szCs w:val="32"/>
        </w:rPr>
        <w:t>监事会会议须有过半数的监事会成员出席方可举行。监事会按其职权作出的决议，须经半数以上的监事会成员通过方为有效。</w:t>
      </w:r>
    </w:p>
    <w:p w14:paraId="21FDBA96">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第五十一条  </w:t>
      </w:r>
      <w:r>
        <w:rPr>
          <w:rFonts w:hint="eastAsia" w:ascii="方正仿宋_GBK" w:hAnsi="方正仿宋_GBK" w:eastAsia="方正仿宋_GBK" w:cs="方正仿宋_GBK"/>
          <w:sz w:val="32"/>
          <w:szCs w:val="32"/>
        </w:rPr>
        <w:t>监事会对所议事项的决定须作会议</w:t>
      </w:r>
      <w:r>
        <w:rPr>
          <w:rFonts w:hint="eastAsia" w:ascii="方正仿宋_GBK" w:hAnsi="方正仿宋_GBK" w:eastAsia="方正仿宋_GBK" w:cs="方正仿宋_GBK"/>
          <w:sz w:val="32"/>
          <w:szCs w:val="32"/>
          <w:lang w:eastAsia="zh-CN"/>
        </w:rPr>
        <w:t>记</w:t>
      </w:r>
      <w:r>
        <w:rPr>
          <w:rFonts w:hint="eastAsia" w:ascii="方正仿宋_GBK" w:hAnsi="方正仿宋_GBK" w:eastAsia="方正仿宋_GBK" w:cs="方正仿宋_GBK"/>
          <w:sz w:val="32"/>
          <w:szCs w:val="32"/>
        </w:rPr>
        <w:t>录，并由出席会议的监事会成员在会议记录上签名，并注明是否同意。</w:t>
      </w:r>
    </w:p>
    <w:p w14:paraId="4FE9E478">
      <w:pPr>
        <w:adjustRightInd w:val="0"/>
        <w:snapToGrid w:val="0"/>
        <w:spacing w:line="560" w:lineRule="exact"/>
        <w:jc w:val="center"/>
        <w:outlineLvl w:val="1"/>
        <w:rPr>
          <w:rFonts w:ascii="方正仿宋_GBK" w:hAnsi="方正仿宋_GBK" w:eastAsia="方正仿宋_GBK" w:cs="方正仿宋_GBK"/>
          <w:b/>
          <w:bCs/>
          <w:sz w:val="32"/>
          <w:szCs w:val="32"/>
        </w:rPr>
      </w:pPr>
      <w:bookmarkStart w:id="10" w:name="_Toc30922"/>
      <w:r>
        <w:rPr>
          <w:rFonts w:hint="eastAsia" w:ascii="方正仿宋_GBK" w:hAnsi="方正仿宋_GBK" w:eastAsia="方正仿宋_GBK" w:cs="方正仿宋_GBK"/>
          <w:b/>
          <w:bCs/>
          <w:sz w:val="32"/>
          <w:szCs w:val="32"/>
        </w:rPr>
        <w:t>第四节  学术委员会及其他</w:t>
      </w:r>
      <w:bookmarkEnd w:id="10"/>
    </w:p>
    <w:p w14:paraId="0CF7B46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第五十二条  </w:t>
      </w:r>
      <w:r>
        <w:rPr>
          <w:rFonts w:hint="eastAsia" w:ascii="方正仿宋_GBK" w:hAnsi="方正仿宋_GBK" w:eastAsia="方正仿宋_GBK" w:cs="方正仿宋_GBK"/>
          <w:sz w:val="32"/>
          <w:szCs w:val="32"/>
        </w:rPr>
        <w:t>学院依法设立学术委员会。学术委员会作为校内最高学术机构，统筹行使学术事务的决策、论证、审议、评定和咨询等职权。其主要职责是：审议学院专业（科研）规划和学术政策、重点专业建设、重大学术事务，评审教学科研项目，评定教学科研成果，评议教师任职和职称晋升，调查评判学术不端行为。</w:t>
      </w:r>
    </w:p>
    <w:p w14:paraId="19050C6D">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第五十三条 </w:t>
      </w:r>
      <w:r>
        <w:rPr>
          <w:rFonts w:hint="eastAsia" w:ascii="方正仿宋_GBK" w:hAnsi="方正仿宋_GBK" w:eastAsia="方正仿宋_GBK" w:cs="方正仿宋_GBK"/>
          <w:sz w:val="32"/>
          <w:szCs w:val="32"/>
        </w:rPr>
        <w:t xml:space="preserve"> 学术委员会委员由不同学科、专业的教授、副教授以及具有其他副高及以上专业技术职务或具有博士学位的人员组成，学院领导及职能部门人员不得超过委员总人数的1/3，不担任党政领导职务和二级学院主要负责人的委员不得少于委员总人数的1/3。委员通过民主推荐、公开遴选方式产生。学术委员会委员经校务会批准，由校长聘任。</w:t>
      </w:r>
    </w:p>
    <w:p w14:paraId="0A9D1F4D">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第五十四条  </w:t>
      </w:r>
      <w:r>
        <w:rPr>
          <w:rFonts w:hint="eastAsia" w:ascii="方正仿宋_GBK" w:hAnsi="方正仿宋_GBK" w:eastAsia="方正仿宋_GBK" w:cs="方正仿宋_GBK"/>
          <w:sz w:val="32"/>
          <w:szCs w:val="32"/>
        </w:rPr>
        <w:t>学术委员会设主任1名，设副主任2-3名，秘书长1名。学术委员会主任、副主任、秘书长经院学术委员会全体会议选举产生。</w:t>
      </w:r>
    </w:p>
    <w:p w14:paraId="43AE81C2">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第五十五条  </w:t>
      </w:r>
      <w:r>
        <w:rPr>
          <w:rFonts w:hint="eastAsia" w:ascii="方正仿宋_GBK" w:hAnsi="方正仿宋_GBK" w:eastAsia="方正仿宋_GBK" w:cs="方正仿宋_GBK"/>
          <w:sz w:val="32"/>
          <w:szCs w:val="32"/>
        </w:rPr>
        <w:t>学术委员会实行任期制，每届任期3年，委员可以连任，因工作调整和调动可予增补。</w:t>
      </w:r>
    </w:p>
    <w:p w14:paraId="3E2FC835">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第五十六条  </w:t>
      </w:r>
      <w:r>
        <w:rPr>
          <w:rFonts w:hint="eastAsia" w:ascii="方正仿宋_GBK" w:hAnsi="方正仿宋_GBK" w:eastAsia="方正仿宋_GBK" w:cs="方正仿宋_GBK"/>
          <w:sz w:val="32"/>
          <w:szCs w:val="32"/>
        </w:rPr>
        <w:t>学术委员会实行例会制度，依议事规则讨论并决定有关事项。每学期至少召开1次全体会议，且有2/3以上委员出席方可举行。学术委员会议事决策实行少数服从多数原则，重大事项应当经与会委员的2/3以上同意方可通过。</w:t>
      </w:r>
    </w:p>
    <w:p w14:paraId="24018F0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第五十七条  </w:t>
      </w:r>
      <w:r>
        <w:rPr>
          <w:rFonts w:hint="eastAsia" w:ascii="方正仿宋_GBK" w:hAnsi="方正仿宋_GBK" w:eastAsia="方正仿宋_GBK" w:cs="方正仿宋_GBK"/>
          <w:sz w:val="32"/>
          <w:szCs w:val="32"/>
        </w:rPr>
        <w:t>学术委员会下设教学指导委员会、专业建设委员会、教学督导委员会、职称评审委员会、学术评价与监督委员会和基层学术委员会等组织，根据其职责职能开展工作，其组织机构及组成人员按相关程序产生，并报校务会批准。设立秘书处作为办事机构，负责处理日常事务。</w:t>
      </w:r>
    </w:p>
    <w:p w14:paraId="5E6EF99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第五十八条  </w:t>
      </w:r>
      <w:r>
        <w:rPr>
          <w:rFonts w:hint="eastAsia" w:ascii="方正仿宋_GBK" w:hAnsi="方正仿宋_GBK" w:eastAsia="方正仿宋_GBK" w:cs="方正仿宋_GBK"/>
          <w:sz w:val="32"/>
          <w:szCs w:val="32"/>
        </w:rPr>
        <w:t>学院设立教材审定委员会，明确其组成原则、人员构成、负责人产生机制、任期、评定制度、议事规则及其他有关事项。其职责是：负责落实教材建设相关政策，健全校内教材管理制度，负责教材规划、审核、选用等。</w:t>
      </w:r>
    </w:p>
    <w:p w14:paraId="33649A9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第五十九条  </w:t>
      </w:r>
      <w:r>
        <w:rPr>
          <w:rFonts w:hint="eastAsia" w:ascii="方正仿宋_GBK" w:hAnsi="方正仿宋_GBK" w:eastAsia="方正仿宋_GBK" w:cs="方正仿宋_GBK"/>
          <w:sz w:val="32"/>
          <w:szCs w:val="32"/>
        </w:rPr>
        <w:t>学院依据《职业院校教材管理办法》《重庆市职业院校教材管理实施细则》等规定制定本校教材相关管理制度，教材审核严把政治关和学术关，促进教材质量提升。政治把关重点审核教材的政治方向和价值导向，学术把关重点审核教材内容的科学性、先进性和适用性。</w:t>
      </w:r>
    </w:p>
    <w:p w14:paraId="224EDE47">
      <w:pPr>
        <w:adjustRightInd w:val="0"/>
        <w:snapToGrid w:val="0"/>
        <w:spacing w:line="560" w:lineRule="exact"/>
        <w:jc w:val="center"/>
        <w:outlineLvl w:val="1"/>
        <w:rPr>
          <w:rFonts w:ascii="方正仿宋_GBK" w:hAnsi="方正仿宋_GBK" w:eastAsia="方正仿宋_GBK" w:cs="方正仿宋_GBK"/>
          <w:b/>
          <w:bCs/>
          <w:sz w:val="32"/>
          <w:szCs w:val="32"/>
        </w:rPr>
      </w:pPr>
      <w:bookmarkStart w:id="11" w:name="_Toc30748"/>
      <w:r>
        <w:rPr>
          <w:rFonts w:hint="eastAsia" w:ascii="方正仿宋_GBK" w:hAnsi="方正仿宋_GBK" w:eastAsia="方正仿宋_GBK" w:cs="方正仿宋_GBK"/>
          <w:b/>
          <w:bCs/>
          <w:sz w:val="32"/>
          <w:szCs w:val="32"/>
        </w:rPr>
        <w:t>第五节  机构设置和管理职能</w:t>
      </w:r>
      <w:bookmarkEnd w:id="11"/>
    </w:p>
    <w:p w14:paraId="0A4C7E6D">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第六十条  </w:t>
      </w:r>
      <w:r>
        <w:rPr>
          <w:rFonts w:hint="eastAsia" w:ascii="方正仿宋_GBK" w:hAnsi="方正仿宋_GBK" w:eastAsia="方正仿宋_GBK" w:cs="方正仿宋_GBK"/>
          <w:sz w:val="32"/>
          <w:szCs w:val="32"/>
        </w:rPr>
        <w:t>学院根据专业设置和学生规模设立二级学院（部）；根据专业条件和社会需求设立科研机构；根据职能精简和效能原则设置行政机构、教辅部门及附属单位。其设立、变更或者撤销，经研究论证，由校务会审议通过，报董事会批准。</w:t>
      </w:r>
    </w:p>
    <w:p w14:paraId="753A3B8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第六十一条  </w:t>
      </w:r>
      <w:r>
        <w:rPr>
          <w:rFonts w:hint="eastAsia" w:ascii="方正仿宋_GBK" w:hAnsi="方正仿宋_GBK" w:eastAsia="方正仿宋_GBK" w:cs="方正仿宋_GBK"/>
          <w:sz w:val="32"/>
          <w:szCs w:val="32"/>
        </w:rPr>
        <w:t>学院行政机构根据确定的职能权限履行其管理和服务职责，按照学院发展规划、工作计划和目标任务，拟定并实施具体工作方案，行政主要负责人对其职能履行和工作成效负责。</w:t>
      </w:r>
    </w:p>
    <w:p w14:paraId="3877E01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第六十二条  </w:t>
      </w:r>
      <w:r>
        <w:rPr>
          <w:rFonts w:hint="eastAsia" w:ascii="方正仿宋_GBK" w:hAnsi="方正仿宋_GBK" w:eastAsia="方正仿宋_GBK" w:cs="方正仿宋_GBK"/>
          <w:sz w:val="32"/>
          <w:szCs w:val="32"/>
        </w:rPr>
        <w:t>二级学院（部）是学院履行办学职能的校内实施单位，在学院授权范围内实行自主管理，履行以下职责：</w:t>
      </w:r>
    </w:p>
    <w:p w14:paraId="0E79F87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贯彻执行上级的政策文件规定、工作安排部署，贯彻执行学院发展战略、目标任务、工作计划和规章制度。并根据学院发展总体要求与具体实际，组织制定本单位发展规划、年度工作计划、管理制度并组织实施；</w:t>
      </w:r>
    </w:p>
    <w:p w14:paraId="3E22F8A2">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组织开展教学及教研教改活动，推进专业（群）建设、课程建设、实验实训基地建设、教研室建设、教学团队建设，组织课堂教学、实习实训、技能竞赛和创新创业等活动，保障教学正常运行，开展质量监测评价；</w:t>
      </w:r>
    </w:p>
    <w:p w14:paraId="4DED057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（三）负责学生教育和管理，组织学生思想教育、劳动教育、技能培训、文化体育、社会实践和志愿服务等活动，开展学生咨询、服务、资助、奖惩等工作；</w:t>
      </w:r>
    </w:p>
    <w:p w14:paraId="260FB9F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（四）根据学院的统一安排和要求，具体负责招生咨询工作和毕业生就业指导服务工作；</w:t>
      </w:r>
    </w:p>
    <w:p w14:paraId="0CB48B3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（五）组织开展科学研究、学术交流和技术开发，参与实施技能培训、社会实践、科普教育和研学旅行等社会服务；</w:t>
      </w:r>
    </w:p>
    <w:p w14:paraId="66E6B34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（六）组织开展产教融合校企合作，实施国际交流合作项目；</w:t>
      </w:r>
    </w:p>
    <w:p w14:paraId="480C105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（七）负责教职员工教育管理和考核评价，实施人才队伍建设，组织推荐评优评先，提出聘任、奖惩、晋升意见，推荐申报专业技术职务资格；</w:t>
      </w:r>
    </w:p>
    <w:p w14:paraId="5870894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（八）负责日常管理及信息网络管理，预算及创收经费管理、资产管理，规范使用学院配置的办学资源；</w:t>
      </w:r>
    </w:p>
    <w:p w14:paraId="29F0E219">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（九）学院授予的其他职权。</w:t>
      </w:r>
    </w:p>
    <w:p w14:paraId="1F9FABF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第六十三条  </w:t>
      </w:r>
      <w:r>
        <w:rPr>
          <w:rFonts w:hint="eastAsia" w:ascii="方正仿宋_GBK" w:hAnsi="方正仿宋_GBK" w:eastAsia="方正仿宋_GBK" w:cs="方正仿宋_GBK"/>
          <w:sz w:val="32"/>
          <w:szCs w:val="32"/>
        </w:rPr>
        <w:t>二级学院（部）院（部）长全面负责本单位的人才培养、教改科研、教学督导、社会服务、合作办学和专业（群）建设、队伍建设与行政管理工作。</w:t>
      </w:r>
    </w:p>
    <w:p w14:paraId="39298229">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第六十四条  </w:t>
      </w:r>
      <w:r>
        <w:rPr>
          <w:rFonts w:hint="eastAsia" w:ascii="方正仿宋_GBK" w:hAnsi="方正仿宋_GBK" w:eastAsia="方正仿宋_GBK" w:cs="方正仿宋_GBK"/>
          <w:sz w:val="32"/>
          <w:szCs w:val="32"/>
        </w:rPr>
        <w:t>二级学院（部）根据工作需要和党员人数，经学院党委批准，成立党总支或直属支部，按照《中国共产党普通高等学校基层组织工作条例》有关规定开展工作。</w:t>
      </w:r>
    </w:p>
    <w:p w14:paraId="3E9DE028">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第六十五条  </w:t>
      </w:r>
      <w:r>
        <w:rPr>
          <w:rFonts w:hint="eastAsia" w:ascii="方正仿宋_GBK" w:hAnsi="方正仿宋_GBK" w:eastAsia="方正仿宋_GBK" w:cs="方正仿宋_GBK"/>
          <w:sz w:val="32"/>
          <w:szCs w:val="32"/>
        </w:rPr>
        <w:t>二级学院（部）建立院（部）务会议（党政联席会）制度，根据议题由院长或书记主持，成员包括正副院长、党组织正副书记、院长助理。根据需要，办公室、教研室、实验（训）室、部（所、中心）负责人和工会、教代会、团组织代表等可以列席会议。院（部）务会议是二级学院（部）的决策机构，讨论决定党的基层组织建设、人才培养、教改科研、社会服务、合作办学及专业（群）建设、队伍建设、思想政治工作和行政管理等重要事项。</w:t>
      </w:r>
    </w:p>
    <w:p w14:paraId="359C744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第六十六条  </w:t>
      </w:r>
      <w:r>
        <w:rPr>
          <w:rFonts w:hint="eastAsia" w:ascii="方正仿宋_GBK" w:hAnsi="方正仿宋_GBK" w:eastAsia="方正仿宋_GBK" w:cs="方正仿宋_GBK"/>
          <w:sz w:val="32"/>
          <w:szCs w:val="32"/>
        </w:rPr>
        <w:t>二级学院（部）设立学术分委员会作为本单位学术事务咨询审议机构。</w:t>
      </w:r>
    </w:p>
    <w:p w14:paraId="56290CD8">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第六十七条  </w:t>
      </w:r>
      <w:r>
        <w:rPr>
          <w:rFonts w:hint="eastAsia" w:ascii="方正仿宋_GBK" w:hAnsi="方正仿宋_GBK" w:eastAsia="方正仿宋_GBK" w:cs="方正仿宋_GBK"/>
          <w:sz w:val="32"/>
          <w:szCs w:val="32"/>
        </w:rPr>
        <w:t>二级学院（部）设立分工会，实行教职工代表大会制度；设立团总支和学生会，实行学生代表大会制度。相关群团组织在二级学院党组织和上级群团组织领导下，保障师生员工参与民主管理和民主监督，并按章程规定开展活动。</w:t>
      </w:r>
    </w:p>
    <w:p w14:paraId="7540C1D9">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第六十八条  </w:t>
      </w:r>
      <w:r>
        <w:rPr>
          <w:rFonts w:hint="eastAsia" w:ascii="方正仿宋_GBK" w:hAnsi="方正仿宋_GBK" w:eastAsia="方正仿宋_GBK" w:cs="方正仿宋_GBK"/>
          <w:sz w:val="32"/>
          <w:szCs w:val="32"/>
        </w:rPr>
        <w:t>学院设置图书馆、档案馆、信息化建设办公室和工程训练中心等教辅机构，为教育教学、教改科研等活动和师生员工学习工作提供服务和保障。</w:t>
      </w:r>
    </w:p>
    <w:p w14:paraId="7F48184A">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第六十九条  </w:t>
      </w:r>
      <w:r>
        <w:rPr>
          <w:rFonts w:hint="eastAsia" w:ascii="方正仿宋_GBK" w:hAnsi="方正仿宋_GBK" w:eastAsia="方正仿宋_GBK" w:cs="方正仿宋_GBK"/>
          <w:sz w:val="32"/>
          <w:szCs w:val="32"/>
        </w:rPr>
        <w:t>学院依法自主与公民、法人和其他组织联合设置教学科研机构，推进产教融合、校企合作，开展合作办学、合作研发与社会服务等活动。</w:t>
      </w:r>
    </w:p>
    <w:p w14:paraId="7079F5AB">
      <w:pPr>
        <w:adjustRightInd w:val="0"/>
        <w:snapToGrid w:val="0"/>
        <w:spacing w:line="560" w:lineRule="exact"/>
        <w:ind w:firstLine="640" w:firstLineChars="200"/>
        <w:rPr>
          <w:rFonts w:ascii="方正仿宋_GBK" w:hAnsi="方正仿宋_GBK" w:eastAsia="方正仿宋_GBK" w:cs="方正仿宋_GBK"/>
          <w:sz w:val="32"/>
          <w:szCs w:val="32"/>
        </w:rPr>
      </w:pPr>
    </w:p>
    <w:p w14:paraId="3D0B0CB7">
      <w:pPr>
        <w:spacing w:line="560" w:lineRule="exact"/>
        <w:jc w:val="center"/>
        <w:outlineLvl w:val="0"/>
        <w:rPr>
          <w:rFonts w:ascii="方正黑体_GBK" w:hAnsi="方正黑体_GBK" w:eastAsia="方正黑体_GBK" w:cs="方正黑体_GBK"/>
          <w:sz w:val="32"/>
          <w:szCs w:val="32"/>
        </w:rPr>
      </w:pPr>
      <w:bookmarkStart w:id="12" w:name="_Toc5685"/>
      <w:r>
        <w:rPr>
          <w:rFonts w:hint="eastAsia" w:ascii="方正黑体_GBK" w:hAnsi="方正黑体_GBK" w:eastAsia="方正黑体_GBK" w:cs="方正黑体_GBK"/>
          <w:sz w:val="32"/>
          <w:szCs w:val="32"/>
        </w:rPr>
        <w:t>第五章  学生与学员</w:t>
      </w:r>
      <w:bookmarkEnd w:id="12"/>
    </w:p>
    <w:p w14:paraId="73818AF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第七十条  </w:t>
      </w:r>
      <w:r>
        <w:rPr>
          <w:rFonts w:hint="eastAsia" w:ascii="方正仿宋_GBK" w:hAnsi="方正仿宋_GBK" w:eastAsia="方正仿宋_GBK" w:cs="方正仿宋_GBK"/>
          <w:sz w:val="32"/>
          <w:szCs w:val="32"/>
        </w:rPr>
        <w:t>学生是指按照国家相关规定录取，取得入学资格，具有学籍的受教育者。</w:t>
      </w:r>
    </w:p>
    <w:p w14:paraId="336FE88B">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第七十一条  </w:t>
      </w:r>
      <w:r>
        <w:rPr>
          <w:rFonts w:hint="eastAsia" w:ascii="方正仿宋_GBK" w:hAnsi="方正仿宋_GBK" w:eastAsia="方正仿宋_GBK" w:cs="方正仿宋_GBK"/>
          <w:sz w:val="32"/>
          <w:szCs w:val="32"/>
        </w:rPr>
        <w:t>学生在校期间依法享有下列权利：</w:t>
      </w:r>
    </w:p>
    <w:p w14:paraId="39FD1DBC">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（一）参加学院教育教学计划安排的各项活动，使用学院提供的教育教学资源；</w:t>
      </w:r>
    </w:p>
    <w:p w14:paraId="40931F9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（二）参加社会实践、志愿服务、勤工助学、文化体育和科技创新等活动，获得就业创业指导和服务；</w:t>
      </w:r>
    </w:p>
    <w:p w14:paraId="41AC0A9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（三）申请奖学金、助学金及助学贷款；</w:t>
      </w:r>
    </w:p>
    <w:p w14:paraId="432B9D76">
      <w:pPr>
        <w:adjustRightInd w:val="0"/>
        <w:snapToGrid w:val="0"/>
        <w:spacing w:line="560" w:lineRule="exact"/>
        <w:ind w:firstLine="640" w:firstLineChars="200"/>
        <w:rPr>
          <w:rFonts w:ascii="方正仿宋_GBK" w:hAnsi="方正仿宋_GBK" w:eastAsia="方正仿宋_GBK" w:cs="方正仿宋_GBK"/>
          <w:sz w:val="32"/>
          <w:szCs w:val="32"/>
          <w:highlight w:val="yellow"/>
        </w:rPr>
      </w:pPr>
      <w:r>
        <w:rPr>
          <w:rFonts w:hint="eastAsia" w:ascii="方正仿宋_GBK" w:hAnsi="方正仿宋_GBK" w:eastAsia="方正仿宋_GBK" w:cs="方正仿宋_GBK"/>
          <w:sz w:val="32"/>
          <w:szCs w:val="32"/>
        </w:rPr>
        <w:t>（四）在思想品德、学业成绩、职业培训等方面获得科学、公正评价。完成学院规定学业后获得相应的学历证书或学业证书。接受职业培训，经职业培训机构或者职业学校考核合格的，取得相应的培训证书。经符合国家规定的专门机构考核合格的，取得相应的职业资格证书或者职业技能等级证书；</w:t>
      </w:r>
    </w:p>
    <w:p w14:paraId="142F754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（五）在校内组织、参加学生团体，以适当方式参与学院管理，对学院与学生权益相关事务享有知情权、参与权、表达权和监督权;</w:t>
      </w:r>
    </w:p>
    <w:p w14:paraId="0B652EE2">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对学院给予的处理或者处分有异议，可向学生申诉处理委员会提出申诉，对申诉结果不满意的可向教育行政部门提出申诉。对学院、教职员工侵犯其人身权、财产权等合法权益的行为，提出申诉或者依法提起诉讼;</w:t>
      </w:r>
    </w:p>
    <w:p w14:paraId="5EA664A9">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（七）知悉学院改革、建设和发展及关涉切身利益的重大事项；</w:t>
      </w:r>
    </w:p>
    <w:p w14:paraId="6BAC1C2B">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（八）法律法规及学院章程规定的其他权利。</w:t>
      </w:r>
    </w:p>
    <w:p w14:paraId="59FA0586">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第七十二条  </w:t>
      </w:r>
      <w:r>
        <w:rPr>
          <w:rFonts w:hint="eastAsia" w:ascii="方正仿宋_GBK" w:hAnsi="方正仿宋_GBK" w:eastAsia="方正仿宋_GBK" w:cs="方正仿宋_GBK"/>
          <w:sz w:val="32"/>
          <w:szCs w:val="32"/>
        </w:rPr>
        <w:t>学生依法履行下列义务：</w:t>
      </w:r>
    </w:p>
    <w:p w14:paraId="3EBD5465">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（一）遵守宪法和法律法规;</w:t>
      </w:r>
    </w:p>
    <w:p w14:paraId="50EF8DF0">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（二）遵守学院章程和规章制度;</w:t>
      </w:r>
    </w:p>
    <w:p w14:paraId="4B8453F9">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（三）恪守学术道德，完成规定学业;</w:t>
      </w:r>
    </w:p>
    <w:p w14:paraId="2494F91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（四）按规定缴纳学费及有关费用，履行获得贷学金及助学金的相应义务;</w:t>
      </w:r>
    </w:p>
    <w:p w14:paraId="66285C8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（五）遵守学生行为规范，尊敬师长，养成良好的思想品德和行为习惯;</w:t>
      </w:r>
    </w:p>
    <w:p w14:paraId="695D33F5">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（六）爱护并合理使用学院教育教学设备、公共环境和生活设施；</w:t>
      </w:r>
    </w:p>
    <w:p w14:paraId="567CA18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（七）法律法规及学院章程规定的其他义务。</w:t>
      </w:r>
    </w:p>
    <w:p w14:paraId="02A112D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第七十三条  </w:t>
      </w:r>
      <w:r>
        <w:rPr>
          <w:rFonts w:hint="eastAsia" w:ascii="方正仿宋_GBK" w:hAnsi="方正仿宋_GBK" w:eastAsia="方正仿宋_GBK" w:cs="方正仿宋_GBK"/>
          <w:sz w:val="32"/>
          <w:szCs w:val="32"/>
        </w:rPr>
        <w:t>学院按照《中华人民共和国民办教育促进法实施条例》和《重庆市人民政府关于进一步促进民办教育健康发展的实施意见》的相关规定，每年从收取的学费收入中足额提取5%的学生资助资金，用于家庭经济困难学生学费减免、勤工助学、校内奖助学金和特殊困难补助等学生资助。使用和管理遵循“先提后用、专项核算、专款专用”的原则。</w:t>
      </w:r>
    </w:p>
    <w:p w14:paraId="65DCE09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第七十四条  </w:t>
      </w:r>
      <w:r>
        <w:rPr>
          <w:rFonts w:hint="eastAsia" w:ascii="方正仿宋_GBK" w:hAnsi="方正仿宋_GBK" w:eastAsia="方正仿宋_GBK" w:cs="方正仿宋_GBK"/>
          <w:sz w:val="32"/>
          <w:szCs w:val="32"/>
        </w:rPr>
        <w:t>学院设立奖学金、助学金，开设绿色通道，开展勤工助学，协助办理助学贷款，实行学费减、免、缓等措施，对在学习生活中遇到困难的学生，为其完成学业提供必要的资助和帮扶。</w:t>
      </w:r>
    </w:p>
    <w:p w14:paraId="364A2EF1">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第七十五条  </w:t>
      </w:r>
      <w:r>
        <w:rPr>
          <w:rFonts w:hint="eastAsia" w:ascii="方正仿宋_GBK" w:hAnsi="方正仿宋_GBK" w:eastAsia="方正仿宋_GBK" w:cs="方正仿宋_GBK"/>
          <w:sz w:val="32"/>
          <w:szCs w:val="32"/>
        </w:rPr>
        <w:t>学院建立健全就业创业促进机制，采取多种形式为学生提供职业规划、职业体验、求职指导、政策咨询、创业培训、岗位信息、项目孵化、竞赛指导、税务代办和成果转化等就业创业服务，以此增强学生就业创业能力。</w:t>
      </w:r>
    </w:p>
    <w:p w14:paraId="73BF27F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第七十六条  </w:t>
      </w:r>
      <w:r>
        <w:rPr>
          <w:rFonts w:hint="eastAsia" w:ascii="方正仿宋_GBK" w:hAnsi="方正仿宋_GBK" w:eastAsia="方正仿宋_GBK" w:cs="方正仿宋_GBK"/>
          <w:sz w:val="32"/>
          <w:szCs w:val="32"/>
        </w:rPr>
        <w:t>学院对在德智体美劳等方面全面发展或者在思想品德、学业成绩、技能竞赛、科技创新、文体活动及社会服务等方面表现突出的学生，给予表彰和奖励。</w:t>
      </w:r>
    </w:p>
    <w:p w14:paraId="144628F5">
      <w:pPr>
        <w:adjustRightInd w:val="0"/>
        <w:snapToGrid w:val="0"/>
        <w:spacing w:line="560" w:lineRule="exact"/>
        <w:ind w:firstLine="643" w:firstLineChars="200"/>
        <w:rPr>
          <w:rFonts w:ascii="方正仿宋_GBK" w:hAnsi="方正仿宋_GBK" w:eastAsia="方正仿宋_GBK" w:cs="方正仿宋_GBK"/>
          <w:color w:val="FF0000"/>
          <w:sz w:val="32"/>
          <w:szCs w:val="32"/>
        </w:rPr>
      </w:pPr>
      <w:r>
        <w:rPr>
          <w:rFonts w:hint="eastAsia" w:ascii="方正仿宋_GBK" w:hAnsi="方正仿宋_GBK" w:eastAsia="方正仿宋_GBK" w:cs="方正仿宋_GBK"/>
          <w:b/>
          <w:bCs/>
          <w:sz w:val="32"/>
          <w:szCs w:val="32"/>
        </w:rPr>
        <w:t xml:space="preserve">第七十七条  </w:t>
      </w:r>
      <w:r>
        <w:rPr>
          <w:rFonts w:hint="eastAsia" w:ascii="方正仿宋_GBK" w:hAnsi="方正仿宋_GBK" w:eastAsia="方正仿宋_GBK" w:cs="方正仿宋_GBK"/>
          <w:sz w:val="32"/>
          <w:szCs w:val="32"/>
        </w:rPr>
        <w:t>学院对违法、违规、违纪学生给予批评教育或者相应的纪律处分。纪律处分种类分为：警告，严重警告，记过，留校察看，开除学籍。学院给予学生的纪律处分应做到事实清楚、依据明确、定性准确、程序正当、处分适当；对学生作出取消入学资格、取消学籍、退学、开除学籍或者其他涉及学生重大利益的处理或者处分决定的，应当提交校务会或者校长授权的专门会议研究决定，并应当事先进行合法性审查。</w:t>
      </w:r>
    </w:p>
    <w:p w14:paraId="3E31C1C6">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第七十八条  </w:t>
      </w:r>
      <w:r>
        <w:rPr>
          <w:rFonts w:hint="eastAsia" w:ascii="方正仿宋_GBK" w:hAnsi="方正仿宋_GBK" w:eastAsia="方正仿宋_GBK" w:cs="方正仿宋_GBK"/>
          <w:sz w:val="32"/>
          <w:szCs w:val="32"/>
        </w:rPr>
        <w:t>学院设立学生申诉处理委员会，依照有关法律法规及学院规定，负责受理和处理学生申诉，依法保障学生的合法权益。学院建立党政领导接待日等工作制度，畅通学生诉求渠道，定期听取学生意见与建议。</w:t>
      </w:r>
    </w:p>
    <w:p w14:paraId="296B2382">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第七十九条  </w:t>
      </w:r>
      <w:r>
        <w:rPr>
          <w:rFonts w:hint="eastAsia" w:ascii="方正仿宋_GBK" w:hAnsi="方正仿宋_GBK" w:eastAsia="方正仿宋_GBK" w:cs="方正仿宋_GBK"/>
          <w:sz w:val="32"/>
          <w:szCs w:val="32"/>
        </w:rPr>
        <w:t>学院根据有关规定指导学生参加学生团体，学生团体依照法律法规和学院规定开展活动。</w:t>
      </w:r>
    </w:p>
    <w:p w14:paraId="7CF051FF">
      <w:pPr>
        <w:adjustRightInd w:val="0"/>
        <w:snapToGrid w:val="0"/>
        <w:spacing w:line="560" w:lineRule="exact"/>
        <w:ind w:firstLine="643" w:firstLineChars="200"/>
        <w:rPr>
          <w:rFonts w:ascii="方正仿宋_GBK" w:hAnsi="方正仿宋_GBK" w:eastAsia="方正仿宋_GBK" w:cs="方正仿宋_GBK"/>
          <w:sz w:val="32"/>
          <w:szCs w:val="32"/>
          <w:highlight w:val="yellow"/>
        </w:rPr>
      </w:pPr>
      <w:r>
        <w:rPr>
          <w:rFonts w:hint="eastAsia" w:ascii="方正仿宋_GBK" w:hAnsi="方正仿宋_GBK" w:eastAsia="方正仿宋_GBK" w:cs="方正仿宋_GBK"/>
          <w:b/>
          <w:bCs/>
          <w:sz w:val="32"/>
          <w:szCs w:val="32"/>
        </w:rPr>
        <w:t xml:space="preserve">第八十条  </w:t>
      </w:r>
      <w:r>
        <w:rPr>
          <w:rFonts w:hint="eastAsia" w:ascii="方正仿宋_GBK" w:hAnsi="方正仿宋_GBK" w:eastAsia="方正仿宋_GBK" w:cs="方正仿宋_GBK"/>
          <w:sz w:val="32"/>
          <w:szCs w:val="32"/>
        </w:rPr>
        <w:t>学员是在学院接受各类培训、在职学习等其他类型的受教育者，依照国家法律法规和学院制定的相关管理办法行使权利义务和遵守相关要求。</w:t>
      </w:r>
    </w:p>
    <w:p w14:paraId="53BBA097">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第八十一条  </w:t>
      </w:r>
      <w:r>
        <w:rPr>
          <w:rFonts w:hint="eastAsia" w:ascii="方正仿宋_GBK" w:hAnsi="方正仿宋_GBK" w:eastAsia="方正仿宋_GBK" w:cs="方正仿宋_GBK"/>
          <w:sz w:val="32"/>
          <w:szCs w:val="32"/>
        </w:rPr>
        <w:t>学员接受职业教育，达到相应学业要求，经学院考核合格的，取得相应的学业证书；接受职业培训，经职业培训机构或者职业学校考核合格的，取得相应的培训证书；经符合国家规定的专门机构考核合格的，取得相应的职业资格证书或者职业技能等级证书。</w:t>
      </w:r>
    </w:p>
    <w:p w14:paraId="5ADC6F2C">
      <w:pPr>
        <w:adjustRightInd w:val="0"/>
        <w:snapToGrid w:val="0"/>
        <w:spacing w:line="560" w:lineRule="exact"/>
        <w:ind w:firstLine="640" w:firstLineChars="200"/>
        <w:rPr>
          <w:rFonts w:ascii="方正仿宋_GBK" w:hAnsi="方正仿宋_GBK" w:eastAsia="方正仿宋_GBK" w:cs="方正仿宋_GBK"/>
          <w:sz w:val="32"/>
          <w:szCs w:val="32"/>
        </w:rPr>
      </w:pPr>
    </w:p>
    <w:p w14:paraId="7EA79D23">
      <w:pPr>
        <w:spacing w:line="560" w:lineRule="exact"/>
        <w:jc w:val="center"/>
        <w:outlineLvl w:val="0"/>
        <w:rPr>
          <w:rFonts w:ascii="方正黑体_GBK" w:hAnsi="方正黑体_GBK" w:eastAsia="方正黑体_GBK" w:cs="方正黑体_GBK"/>
          <w:sz w:val="32"/>
          <w:szCs w:val="32"/>
        </w:rPr>
      </w:pPr>
      <w:bookmarkStart w:id="13" w:name="_Toc30248"/>
      <w:r>
        <w:rPr>
          <w:rFonts w:hint="eastAsia" w:ascii="方正黑体_GBK" w:hAnsi="方正黑体_GBK" w:eastAsia="方正黑体_GBK" w:cs="方正黑体_GBK"/>
          <w:sz w:val="32"/>
          <w:szCs w:val="32"/>
        </w:rPr>
        <w:t>第六章  教师与职工</w:t>
      </w:r>
      <w:bookmarkEnd w:id="13"/>
    </w:p>
    <w:p w14:paraId="0CAE196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第八十二条  </w:t>
      </w:r>
      <w:r>
        <w:rPr>
          <w:rFonts w:hint="eastAsia" w:ascii="方正仿宋_GBK" w:hAnsi="方正仿宋_GBK" w:eastAsia="方正仿宋_GBK" w:cs="方正仿宋_GBK"/>
          <w:sz w:val="32"/>
          <w:szCs w:val="32"/>
        </w:rPr>
        <w:t>教师与职工是指学院依法依规聘用的在职人员，由教师与其他专业技术人员、管理人员和工勤技能人员构成。</w:t>
      </w:r>
    </w:p>
    <w:p w14:paraId="22A242F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第八十三条  </w:t>
      </w:r>
      <w:r>
        <w:rPr>
          <w:rFonts w:hint="eastAsia" w:ascii="方正仿宋_GBK" w:hAnsi="方正仿宋_GBK" w:eastAsia="方正仿宋_GBK" w:cs="方正仿宋_GBK"/>
          <w:sz w:val="32"/>
          <w:szCs w:val="32"/>
        </w:rPr>
        <w:t>教师与职工依法享有下列权利：</w:t>
      </w:r>
    </w:p>
    <w:p w14:paraId="72DD3A24">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（一）进行教育教学和管理服务活动，开展教育教学改革，指导学生学习发展，评定学生品行和学业成绩，使用学院提供的办学资源；</w:t>
      </w:r>
    </w:p>
    <w:p w14:paraId="7C84C726">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（二）在品德、能力和业绩等方面获得公正评价，获得相应薪酬待遇和奖励及荣誉称号；</w:t>
      </w:r>
    </w:p>
    <w:p w14:paraId="43B91DA4">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（三）按时获取薪资报酬，依照规定享有福利待遇及节假日带薪休假；</w:t>
      </w:r>
    </w:p>
    <w:p w14:paraId="3175DAA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（四）参加进修或者其他方式的培训；</w:t>
      </w:r>
    </w:p>
    <w:p w14:paraId="151276C6">
      <w:pPr>
        <w:adjustRightInd w:val="0"/>
        <w:snapToGrid w:val="0"/>
        <w:spacing w:line="560" w:lineRule="exact"/>
        <w:ind w:firstLine="640" w:firstLineChars="200"/>
        <w:rPr>
          <w:rFonts w:ascii="方正仿宋_GBK" w:hAnsi="方正仿宋_GBK" w:eastAsia="方正仿宋_GBK" w:cs="方正仿宋_GBK"/>
          <w:sz w:val="32"/>
          <w:szCs w:val="32"/>
          <w:highlight w:val="yellow"/>
        </w:rPr>
      </w:pPr>
      <w:r>
        <w:rPr>
          <w:rFonts w:hint="eastAsia" w:ascii="方正仿宋_GBK" w:hAnsi="方正仿宋_GBK" w:eastAsia="方正仿宋_GBK" w:cs="方正仿宋_GBK"/>
          <w:sz w:val="32"/>
          <w:szCs w:val="32"/>
        </w:rPr>
        <w:t>（五）参与学院的民主管理和民主监督，对学院的教育教学和管理工作提出意见和建议；</w:t>
      </w:r>
    </w:p>
    <w:p w14:paraId="5643C21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（六）对职务评聘、福利待遇、评优评奖、纪律处分等事项表达异议和提出申诉；</w:t>
      </w:r>
    </w:p>
    <w:p w14:paraId="72DF968B">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（七）劳动或聘用合同规定的权利；</w:t>
      </w:r>
    </w:p>
    <w:p w14:paraId="6702A98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（八）法律法规规定的其他权利。</w:t>
      </w:r>
    </w:p>
    <w:p w14:paraId="17809D7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第八十四条  </w:t>
      </w:r>
      <w:r>
        <w:rPr>
          <w:rFonts w:hint="eastAsia" w:ascii="方正仿宋_GBK" w:hAnsi="方正仿宋_GBK" w:eastAsia="方正仿宋_GBK" w:cs="方正仿宋_GBK"/>
          <w:sz w:val="32"/>
          <w:szCs w:val="32"/>
        </w:rPr>
        <w:t>教师与职工依法履行下列义务：</w:t>
      </w:r>
    </w:p>
    <w:p w14:paraId="3CEB452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（一）遵守法律法规、学院规章制度、职业道德和学术规范；</w:t>
      </w:r>
    </w:p>
    <w:p w14:paraId="662529BA">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（二）提高思想政治觉悟和业务能力水平，参与教育教学、科学研究、合作办学和管理服务等活动；</w:t>
      </w:r>
    </w:p>
    <w:p w14:paraId="2D148749">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（三）履行岗位职责，执行工作计划，完成目标任务； </w:t>
      </w:r>
    </w:p>
    <w:p w14:paraId="1651CC21">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（四）为人师表，尊重和爱护学生；</w:t>
      </w:r>
    </w:p>
    <w:p w14:paraId="3EEF4DC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（五）爱护学院公共财产，维护学院声誉利益；</w:t>
      </w:r>
    </w:p>
    <w:p w14:paraId="4153D9B2">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（六）法律法规及学院规章制度规定的其他义务。</w:t>
      </w:r>
    </w:p>
    <w:p w14:paraId="07163918">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第八十五条  </w:t>
      </w:r>
      <w:r>
        <w:rPr>
          <w:rFonts w:hint="eastAsia" w:ascii="方正仿宋_GBK" w:hAnsi="方正仿宋_GBK" w:eastAsia="方正仿宋_GBK" w:cs="方正仿宋_GBK"/>
          <w:sz w:val="32"/>
          <w:szCs w:val="32"/>
        </w:rPr>
        <w:t>学院根据国家规定和实际需要，自主聘任教职工，优化引进优秀人才和高层次人才的激励措施。学院聘任的教师或者教学人员应当具备相应的教师资格或者其他相应的从业资格、资质。</w:t>
      </w:r>
    </w:p>
    <w:p w14:paraId="4BB87C72">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第八十六条  </w:t>
      </w:r>
      <w:r>
        <w:rPr>
          <w:rFonts w:hint="eastAsia" w:ascii="方正仿宋_GBK" w:hAnsi="方正仿宋_GBK" w:eastAsia="方正仿宋_GBK" w:cs="方正仿宋_GBK"/>
          <w:sz w:val="32"/>
          <w:szCs w:val="32"/>
        </w:rPr>
        <w:t>学院招聘的教师，通过资格审查、试教、体检、政审等考核程序，符合要求的，方可上岗执教。</w:t>
      </w:r>
    </w:p>
    <w:p w14:paraId="40094E8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第八十七条  </w:t>
      </w:r>
      <w:r>
        <w:rPr>
          <w:rFonts w:hint="eastAsia" w:ascii="方正仿宋_GBK" w:hAnsi="方正仿宋_GBK" w:eastAsia="方正仿宋_GBK" w:cs="方正仿宋_GBK"/>
          <w:sz w:val="32"/>
          <w:szCs w:val="32"/>
        </w:rPr>
        <w:t>学院与招聘录用教职工签订符合国家法律法规和政策要求的劳动或者聘用合同，在合同中除依法约定必备条款外，对教职工的权利与义务、教师岗位及职责要求、师德及业务考核办法、薪资福利待遇、培训及其继续教育等事项做出具体的约定。学院聘用外籍教师，按照国家有关规定执行。</w:t>
      </w:r>
    </w:p>
    <w:p w14:paraId="541F93F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第八十八条  </w:t>
      </w:r>
      <w:r>
        <w:rPr>
          <w:rFonts w:hint="eastAsia" w:ascii="方正仿宋_GBK" w:hAnsi="方正仿宋_GBK" w:eastAsia="方正仿宋_GBK" w:cs="方正仿宋_GBK"/>
          <w:sz w:val="32"/>
          <w:szCs w:val="32"/>
        </w:rPr>
        <w:t>学院加强教师资格管理，规范教师聘用制度，建立专任教师和其他教辅人员劳动、聘用合同统一档案管理制度，包括人事档案管理、新入职人员转正定级、申报专业技术职务评审、薪资调整、组织人事关系接转、代办养老保险和住房公积金、各类岗位培训和继续教育、出具以档案材料为依据的有关证明等。</w:t>
      </w:r>
    </w:p>
    <w:p w14:paraId="466EAE7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第八十九条  </w:t>
      </w:r>
      <w:r>
        <w:rPr>
          <w:rFonts w:hint="eastAsia" w:ascii="方正仿宋_GBK" w:hAnsi="方正仿宋_GBK" w:eastAsia="方正仿宋_GBK" w:cs="方正仿宋_GBK"/>
          <w:sz w:val="32"/>
          <w:szCs w:val="32"/>
        </w:rPr>
        <w:t>学院根据工作要求和管理制度，对教职员工的思想品德、能力水平、工作态度和工作绩效进行考核评定，考核结果作为岗位聘任、晋级晋升、薪酬绩效及实施奖惩的依据。学院对考核优秀、表现突出、取得成效、作出贡献的教职员工，按照相关制度给予表彰和奖励；学院对考核不合格的人员根据相关制度办法给予处理或辞退；学院对犯有错误的教职工视其情节、性质与程度，根据国家法律法规和学院有关规定给予批评教育、纪律处分或辞退等处理。</w:t>
      </w:r>
    </w:p>
    <w:p w14:paraId="1B1B108D">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第九十条  </w:t>
      </w:r>
      <w:r>
        <w:rPr>
          <w:rFonts w:hint="eastAsia" w:ascii="方正仿宋_GBK" w:hAnsi="方正仿宋_GBK" w:eastAsia="方正仿宋_GBK" w:cs="方正仿宋_GBK"/>
          <w:sz w:val="32"/>
          <w:szCs w:val="32"/>
        </w:rPr>
        <w:t>学院依据相关法规和劳资管理制度，按时足额支付教职工薪资。建立以业绩贡献和能力水平为导向、以目标管理和目标考核为重点的绩效薪资动态调整机制，将薪资收入与岗位职责、工作业绩、实际贡献以及知识、技术、成果等挂钩。优化完善教职工薪酬体系，稳步提高教职员工的福利待遇，改善工作、学习与生活条件。</w:t>
      </w:r>
    </w:p>
    <w:p w14:paraId="31D39019">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第九十一条  </w:t>
      </w:r>
      <w:r>
        <w:rPr>
          <w:rFonts w:hint="eastAsia" w:ascii="方正仿宋_GBK" w:hAnsi="方正仿宋_GBK" w:eastAsia="方正仿宋_GBK" w:cs="方正仿宋_GBK"/>
          <w:sz w:val="32"/>
          <w:szCs w:val="32"/>
        </w:rPr>
        <w:t>学院根据办学实际需要和精简效能原则，自主确定人员岗位编制和岗位职责要求，制定各类人员的分配制度与考核指标，实现以岗定薪、多劳多得、优绩优酬的原则。优化人才考核方式与薪酬待遇，健全外聘兼职人员和企业导师的薪酬制度，完善教职工在教育教学、科研开发、社会服务、管理服务等方面获得重要成果和突出成效的奖励办法。</w:t>
      </w:r>
    </w:p>
    <w:p w14:paraId="67F225F9">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第九十二条  </w:t>
      </w:r>
      <w:r>
        <w:rPr>
          <w:rFonts w:hint="eastAsia" w:ascii="方正仿宋_GBK" w:hAnsi="方正仿宋_GBK" w:eastAsia="方正仿宋_GBK" w:cs="方正仿宋_GBK"/>
          <w:sz w:val="32"/>
          <w:szCs w:val="32"/>
        </w:rPr>
        <w:t>学院执行国家相关政策，为教职员工购买社会保险和住房公积金，其中养老保险、医疗保险、失业保险和住房公积金由单位和个人按规定比例共同缴纳，工伤保险由单位缴纳。符合条件者根据情况购买企业年金或养老型保障金。</w:t>
      </w:r>
    </w:p>
    <w:p w14:paraId="1B34CAC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第九十三条  </w:t>
      </w:r>
      <w:r>
        <w:rPr>
          <w:rFonts w:hint="eastAsia" w:ascii="方正仿宋_GBK" w:hAnsi="方正仿宋_GBK" w:eastAsia="方正仿宋_GBK" w:cs="方正仿宋_GBK"/>
          <w:sz w:val="32"/>
          <w:szCs w:val="32"/>
        </w:rPr>
        <w:t>学院从学费收入中提取一定比例建立专项资金或者基金，专款用于教职工职业激励或者增加待遇保障，积极支持和完善教师参加各类业务竞赛、科研项目、评优评先等激励机制。</w:t>
      </w:r>
    </w:p>
    <w:p w14:paraId="74A67B2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第九十四条  </w:t>
      </w:r>
      <w:r>
        <w:rPr>
          <w:rFonts w:hint="eastAsia" w:ascii="方正仿宋_GBK" w:hAnsi="方正仿宋_GBK" w:eastAsia="方正仿宋_GBK" w:cs="方正仿宋_GBK"/>
          <w:sz w:val="32"/>
          <w:szCs w:val="32"/>
        </w:rPr>
        <w:t>学院建立健全职称评聘制度，自主开展专业技术职称评聘或评审推荐工作，制定专业技术职称评审条件和办法，优化专业技术人员职称结构。</w:t>
      </w:r>
    </w:p>
    <w:p w14:paraId="795F402D">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第九十五条  </w:t>
      </w:r>
      <w:r>
        <w:rPr>
          <w:rFonts w:hint="eastAsia" w:ascii="方正仿宋_GBK" w:hAnsi="方正仿宋_GBK" w:eastAsia="方正仿宋_GBK" w:cs="方正仿宋_GBK"/>
          <w:sz w:val="32"/>
          <w:szCs w:val="32"/>
        </w:rPr>
        <w:t>学院健全教职员工培训制度，完善校本研修培训机制，开展校外培训（包括各类专项培训、高校进修访学、企业岗位实践、机关挂职锻炼、海外研修访学）等培训活动。按照培训经费的支出比例不得低于教职工薪资总额的2.5%足额提取培训经费，用于教职员工培训。</w:t>
      </w:r>
    </w:p>
    <w:p w14:paraId="76D3482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第九十六条  </w:t>
      </w:r>
      <w:r>
        <w:rPr>
          <w:rFonts w:hint="eastAsia" w:ascii="方正仿宋_GBK" w:hAnsi="方正仿宋_GBK" w:eastAsia="方正仿宋_GBK" w:cs="方正仿宋_GBK"/>
          <w:sz w:val="32"/>
          <w:szCs w:val="32"/>
        </w:rPr>
        <w:t>学院依法建立教职工申诉处理委员会，建立并实施劳动人事争议调解制度和教职员工申诉制度，健全教职工帮扶、救济及相应的权利保护机制，维护教职工合法权益。</w:t>
      </w:r>
    </w:p>
    <w:p w14:paraId="2A05D87D">
      <w:pPr>
        <w:adjustRightInd w:val="0"/>
        <w:snapToGrid w:val="0"/>
        <w:spacing w:line="560" w:lineRule="exact"/>
        <w:rPr>
          <w:rFonts w:ascii="方正仿宋_GBK" w:hAnsi="方正仿宋_GBK" w:eastAsia="方正仿宋_GBK" w:cs="方正仿宋_GBK"/>
          <w:sz w:val="32"/>
          <w:szCs w:val="32"/>
        </w:rPr>
      </w:pPr>
    </w:p>
    <w:p w14:paraId="2C723997">
      <w:pPr>
        <w:spacing w:line="560" w:lineRule="exact"/>
        <w:jc w:val="center"/>
        <w:outlineLvl w:val="0"/>
        <w:rPr>
          <w:rFonts w:ascii="方正黑体_GBK" w:hAnsi="方正黑体_GBK" w:eastAsia="方正黑体_GBK" w:cs="方正黑体_GBK"/>
          <w:sz w:val="32"/>
          <w:szCs w:val="32"/>
        </w:rPr>
      </w:pPr>
      <w:bookmarkStart w:id="14" w:name="_Toc15430"/>
      <w:r>
        <w:rPr>
          <w:rFonts w:hint="eastAsia" w:ascii="方正黑体_GBK" w:hAnsi="方正黑体_GBK" w:eastAsia="方正黑体_GBK" w:cs="方正黑体_GBK"/>
          <w:sz w:val="32"/>
          <w:szCs w:val="32"/>
        </w:rPr>
        <w:t>第七章  教育教学与人才培养</w:t>
      </w:r>
      <w:bookmarkEnd w:id="14"/>
    </w:p>
    <w:p w14:paraId="5D99462B">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第九十七条  </w:t>
      </w:r>
      <w:r>
        <w:rPr>
          <w:rFonts w:hint="eastAsia" w:ascii="方正仿宋_GBK" w:hAnsi="方正仿宋_GBK" w:eastAsia="方正仿宋_GBK" w:cs="方正仿宋_GBK"/>
          <w:sz w:val="32"/>
          <w:szCs w:val="32"/>
        </w:rPr>
        <w:t>学院贯彻执行国家的教育方针，坚持立德树人、德技并修，构建“三全育人”格局，落实“五育”并举要求，以人才培养为中心，全面提高教育教学质量。</w:t>
      </w:r>
    </w:p>
    <w:p w14:paraId="561BD436">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第九十八条  </w:t>
      </w:r>
      <w:r>
        <w:rPr>
          <w:rFonts w:hint="eastAsia" w:ascii="方正仿宋_GBK" w:hAnsi="方正仿宋_GBK" w:eastAsia="方正仿宋_GBK" w:cs="方正仿宋_GBK"/>
          <w:sz w:val="32"/>
          <w:szCs w:val="32"/>
        </w:rPr>
        <w:t>学院遵守招生规则和政策，依据发展定位、办学条件等制订招生章程，实施高校招生阳光工程，公开公平公正招录学生，对招生简章和广告的真实性负责，报审批机关备案，并接受业务主管单位和社会的监督。招收境外学生，按照国家有关规定执行。</w:t>
      </w:r>
    </w:p>
    <w:p w14:paraId="44B0AD60">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第九十九条  </w:t>
      </w:r>
      <w:r>
        <w:rPr>
          <w:rFonts w:hint="eastAsia" w:ascii="方正仿宋_GBK" w:hAnsi="方正仿宋_GBK" w:eastAsia="方正仿宋_GBK" w:cs="方正仿宋_GBK"/>
          <w:sz w:val="32"/>
          <w:szCs w:val="32"/>
        </w:rPr>
        <w:t>学院坚持“学历+能力，做人更重要”的育人理念，优化“3+1”育人模式，培养德智体美劳全面发展、具有优良的职业道德和工匠精神、一定的专业知识基础和人文科技素养、扎实的实践操作和岗位匹配能力、较强的创新创业意识和就业竞争力的高素质技术技能人才。</w:t>
      </w:r>
    </w:p>
    <w:p w14:paraId="7E0C7A8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第一百条  </w:t>
      </w:r>
      <w:r>
        <w:rPr>
          <w:rFonts w:hint="eastAsia" w:ascii="方正仿宋_GBK" w:hAnsi="方正仿宋_GBK" w:eastAsia="方正仿宋_GBK" w:cs="方正仿宋_GBK"/>
          <w:sz w:val="32"/>
          <w:szCs w:val="32"/>
        </w:rPr>
        <w:t>学院科学制定并不断优化人才培养方案，构建理论教学、实习实训、技能竞赛、培训考证、创新创业相结合的人才培养体系，不断深化“岗课赛证”融合育人，将思想品德、劳动实践、创新创业、安全卫生、心理健康、人文素养、体育锻炼、美育活动和绿色生态等教育贯穿于人才培养全过程，统筹安排第二课堂及志愿服务、学生团体、文化体育等活动。</w:t>
      </w:r>
    </w:p>
    <w:p w14:paraId="64321E0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第一百零一条  </w:t>
      </w:r>
      <w:r>
        <w:rPr>
          <w:rFonts w:hint="eastAsia" w:ascii="方正仿宋_GBK" w:hAnsi="方正仿宋_GBK" w:eastAsia="方正仿宋_GBK" w:cs="方正仿宋_GBK"/>
          <w:sz w:val="32"/>
          <w:szCs w:val="32"/>
        </w:rPr>
        <w:t>学院加强思想政治教育工作，推进思政课程和课程思政建设，学习践行社会主义核心价值观，开展爱国主义、社会主义、集体主义教育，开展理想信念、法纪教育、道德教育等教育，建设优良学风、校风，培养良好的职业素养和行为规范，提高学生思想道德水平和综合素质。</w:t>
      </w:r>
    </w:p>
    <w:p w14:paraId="272F90E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第一百零二条  </w:t>
      </w:r>
      <w:r>
        <w:rPr>
          <w:rFonts w:hint="eastAsia" w:ascii="方正仿宋_GBK" w:hAnsi="方正仿宋_GBK" w:eastAsia="方正仿宋_GBK" w:cs="方正仿宋_GBK"/>
          <w:sz w:val="32"/>
          <w:szCs w:val="32"/>
        </w:rPr>
        <w:t>学院开展专业（群）建设，优化专业布局，健全课程体系，打造教学创新团队，建设校内外实训实习基地，按相关要求选用和编写教材，提高专业（群）建设水平。</w:t>
      </w:r>
    </w:p>
    <w:p w14:paraId="1272AF21">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第一百零三条  </w:t>
      </w:r>
      <w:r>
        <w:rPr>
          <w:rFonts w:hint="eastAsia" w:ascii="方正仿宋_GBK" w:hAnsi="方正仿宋_GBK" w:eastAsia="方正仿宋_GBK" w:cs="方正仿宋_GBK"/>
          <w:sz w:val="32"/>
          <w:szCs w:val="32"/>
        </w:rPr>
        <w:t>学院根据人才培养目标和要求，学习运用先进教育理念，推进和鼓励教学研究和成果应用，不断改革人才培养模式，改革教学内容、教学方法和教学形式，改革并强化实践育人环节，改革考核评价方法，运用现代信息技术更新教学内容与方法。</w:t>
      </w:r>
    </w:p>
    <w:p w14:paraId="1114E9AA">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第一百零四条  </w:t>
      </w:r>
      <w:r>
        <w:rPr>
          <w:rFonts w:hint="eastAsia" w:ascii="方正仿宋_GBK" w:hAnsi="方正仿宋_GBK" w:eastAsia="方正仿宋_GBK" w:cs="方正仿宋_GBK"/>
          <w:sz w:val="32"/>
          <w:szCs w:val="32"/>
        </w:rPr>
        <w:t>学院健全完善教学管理制度和教学质量监控与保障体系，实行教学督导、听课评课、教学检查、教学质量评估和学生评教制度，保证各类教学活动有序开展。</w:t>
      </w:r>
    </w:p>
    <w:p w14:paraId="5FA8AA3A">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第一百零五条  </w:t>
      </w:r>
      <w:r>
        <w:rPr>
          <w:rFonts w:hint="eastAsia" w:ascii="方正仿宋_GBK" w:hAnsi="方正仿宋_GBK" w:eastAsia="方正仿宋_GBK" w:cs="方正仿宋_GBK"/>
          <w:sz w:val="32"/>
          <w:szCs w:val="32"/>
        </w:rPr>
        <w:t>学院按照相关法规组织安排学生实习实训，加强对实习实训学生的指导，加强安全生产教育，协商实习单位安排与学生所学专业相匹配的岗位，明确实习实训内容和标准，完善学生实习实训的考核评价方式方法。</w:t>
      </w:r>
    </w:p>
    <w:p w14:paraId="50349E09">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第一百零六条  </w:t>
      </w:r>
      <w:r>
        <w:rPr>
          <w:rFonts w:hint="eastAsia" w:ascii="方正仿宋_GBK" w:hAnsi="方正仿宋_GBK" w:eastAsia="方正仿宋_GBK" w:cs="方正仿宋_GBK"/>
          <w:sz w:val="32"/>
          <w:szCs w:val="32"/>
        </w:rPr>
        <w:t>学院按国家有关规定完善学生学籍管理制度，实行弹性学制，管理学生学籍，处理学籍异动，建立学生档案。</w:t>
      </w:r>
    </w:p>
    <w:p w14:paraId="51E85781">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第一百零七条  </w:t>
      </w:r>
      <w:r>
        <w:rPr>
          <w:rFonts w:hint="eastAsia" w:ascii="方正仿宋_GBK" w:hAnsi="方正仿宋_GBK" w:eastAsia="方正仿宋_GBK" w:cs="方正仿宋_GBK"/>
          <w:sz w:val="32"/>
          <w:szCs w:val="32"/>
        </w:rPr>
        <w:t>学院为修完教育教学计划规定内容、成绩合格或者修满相应的学分，达到毕业要求的学生颁发毕业证书。未达到毕业要求，根据学生完成学业与成绩情况，按照规定发放结、肄业证书。根据学生完成培训和职业岗位考核情况，由学院或相关部门颁发相应的培训证书、职业资格证书或职业技能等级证书等。</w:t>
      </w:r>
    </w:p>
    <w:p w14:paraId="6BAFFB00">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第一百零八条  </w:t>
      </w:r>
      <w:r>
        <w:rPr>
          <w:rFonts w:hint="eastAsia" w:ascii="方正仿宋_GBK" w:hAnsi="方正仿宋_GBK" w:eastAsia="方正仿宋_GBK" w:cs="方正仿宋_GBK"/>
          <w:sz w:val="32"/>
          <w:szCs w:val="32"/>
        </w:rPr>
        <w:t>学院建立并完善人才培养信息公开制度，接受教育行政部门对教育教学的监督管理，接受地方政府对学院办学水平、教育教学质量的督导、监测和评估。</w:t>
      </w:r>
    </w:p>
    <w:p w14:paraId="47E1946C">
      <w:pPr>
        <w:adjustRightInd w:val="0"/>
        <w:snapToGrid w:val="0"/>
        <w:spacing w:line="560" w:lineRule="exact"/>
        <w:ind w:firstLine="640" w:firstLineChars="200"/>
        <w:rPr>
          <w:rFonts w:ascii="方正仿宋_GBK" w:hAnsi="方正仿宋_GBK" w:eastAsia="方正仿宋_GBK" w:cs="方正仿宋_GBK"/>
          <w:sz w:val="32"/>
          <w:szCs w:val="32"/>
        </w:rPr>
      </w:pPr>
    </w:p>
    <w:p w14:paraId="3D12B515">
      <w:pPr>
        <w:spacing w:line="560" w:lineRule="exact"/>
        <w:jc w:val="center"/>
        <w:outlineLvl w:val="0"/>
        <w:rPr>
          <w:rFonts w:ascii="方正黑体_GBK" w:hAnsi="方正黑体_GBK" w:eastAsia="方正黑体_GBK" w:cs="方正黑体_GBK"/>
          <w:sz w:val="32"/>
          <w:szCs w:val="32"/>
        </w:rPr>
      </w:pPr>
      <w:bookmarkStart w:id="15" w:name="_Toc14837"/>
      <w:r>
        <w:rPr>
          <w:rFonts w:hint="eastAsia" w:ascii="方正黑体_GBK" w:hAnsi="方正黑体_GBK" w:eastAsia="方正黑体_GBK" w:cs="方正黑体_GBK"/>
          <w:sz w:val="32"/>
          <w:szCs w:val="32"/>
        </w:rPr>
        <w:t>第八章  科学研究与社会服务</w:t>
      </w:r>
      <w:bookmarkEnd w:id="15"/>
    </w:p>
    <w:p w14:paraId="249672B2">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第一百零九条  </w:t>
      </w:r>
      <w:r>
        <w:rPr>
          <w:rFonts w:hint="eastAsia" w:ascii="方正仿宋_GBK" w:hAnsi="方正仿宋_GBK" w:eastAsia="方正仿宋_GBK" w:cs="方正仿宋_GBK"/>
          <w:sz w:val="32"/>
          <w:szCs w:val="32"/>
        </w:rPr>
        <w:t>学院鼓励、支持教职工开展科学研究和创新活动，培育、推广、应用科研成果和研发技术，不断提升科学研究水平和社会服务能力。</w:t>
      </w:r>
    </w:p>
    <w:p w14:paraId="7CEDA9C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第一百一十条  </w:t>
      </w:r>
      <w:r>
        <w:rPr>
          <w:rFonts w:hint="eastAsia" w:ascii="方正仿宋_GBK" w:hAnsi="方正仿宋_GBK" w:eastAsia="方正仿宋_GBK" w:cs="方正仿宋_GBK"/>
          <w:sz w:val="32"/>
          <w:szCs w:val="32"/>
        </w:rPr>
        <w:t>学院设立专门科研机构，引培科研人才，组建科研创新团队，建设协同创新中心、重点实验室、工程中心、研究院所等科研平台，申报各级纵向与横向科研项目，打造学术研究和技术研发等科研成果，实施项目成果资助、奖励政策和制度。</w:t>
      </w:r>
    </w:p>
    <w:p w14:paraId="14695CF1">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第一百一十一条  </w:t>
      </w:r>
      <w:r>
        <w:rPr>
          <w:rFonts w:hint="eastAsia" w:ascii="方正仿宋_GBK" w:hAnsi="方正仿宋_GBK" w:eastAsia="方正仿宋_GBK" w:cs="方正仿宋_GBK"/>
          <w:sz w:val="32"/>
          <w:szCs w:val="32"/>
        </w:rPr>
        <w:t>学院开展科技创新与学术交流活动，建设科普基地、研学基地、众创空间等，举办学术报告，开展科技竞赛，组织科普宣传，进行学术交流。</w:t>
      </w:r>
    </w:p>
    <w:p w14:paraId="1E00D9B7">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第一百一十二条  </w:t>
      </w:r>
      <w:r>
        <w:rPr>
          <w:rFonts w:hint="eastAsia" w:ascii="方正仿宋_GBK" w:hAnsi="方正仿宋_GBK" w:eastAsia="方正仿宋_GBK" w:cs="方正仿宋_GBK"/>
          <w:sz w:val="32"/>
          <w:szCs w:val="32"/>
        </w:rPr>
        <w:t>学院推动产学研用协同，与行业企业、产业园区、高校院所及其他社会组织在科学研究、技术开发和推广等方面进行多种形式的合作。</w:t>
      </w:r>
    </w:p>
    <w:p w14:paraId="4A2D4F75">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第一百一十三条  </w:t>
      </w:r>
      <w:r>
        <w:rPr>
          <w:rFonts w:hint="eastAsia" w:ascii="方正仿宋_GBK" w:hAnsi="方正仿宋_GBK" w:eastAsia="方正仿宋_GBK" w:cs="方正仿宋_GBK"/>
          <w:sz w:val="32"/>
          <w:szCs w:val="32"/>
        </w:rPr>
        <w:t>学院充分发挥专业特色优势，面向生产实际需要，为企事业单位、街道乡镇提供技能培训、技能鉴定、技术创新和技术推广等服务；为政府机关、企事业单位、产业园区和街道乡镇提供政策咨询、项目规划、工程监理、商务策划和创意设计等服务。</w:t>
      </w:r>
    </w:p>
    <w:p w14:paraId="5A98F1B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第一百一十四条  </w:t>
      </w:r>
      <w:r>
        <w:rPr>
          <w:rFonts w:hint="eastAsia" w:ascii="方正仿宋_GBK" w:hAnsi="方正仿宋_GBK" w:eastAsia="方正仿宋_GBK" w:cs="方正仿宋_GBK"/>
          <w:sz w:val="32"/>
          <w:szCs w:val="32"/>
        </w:rPr>
        <w:t>学院通过共建产业学院、社区学院和乡村振兴学院等形式，为社会提供职业技能培训和继续教育服务；通过共享图书情报、文体场馆、实验设备等资源为社会提供资源服务；通过开展社会实践、扶贫帮困、义务劳动、赛事服务等为社会提供志愿服务。</w:t>
      </w:r>
    </w:p>
    <w:p w14:paraId="76A27F5F">
      <w:pPr>
        <w:adjustRightInd w:val="0"/>
        <w:snapToGrid w:val="0"/>
        <w:spacing w:line="560" w:lineRule="exact"/>
        <w:ind w:firstLine="640" w:firstLineChars="200"/>
        <w:rPr>
          <w:rFonts w:ascii="方正仿宋_GBK" w:hAnsi="方正仿宋_GBK" w:eastAsia="方正仿宋_GBK" w:cs="方正仿宋_GBK"/>
          <w:sz w:val="32"/>
          <w:szCs w:val="32"/>
        </w:rPr>
      </w:pPr>
    </w:p>
    <w:p w14:paraId="685546DC">
      <w:pPr>
        <w:spacing w:line="560" w:lineRule="exact"/>
        <w:jc w:val="center"/>
        <w:outlineLvl w:val="0"/>
        <w:rPr>
          <w:rFonts w:ascii="方正黑体_GBK" w:hAnsi="方正黑体_GBK" w:eastAsia="方正黑体_GBK" w:cs="方正黑体_GBK"/>
          <w:sz w:val="32"/>
          <w:szCs w:val="32"/>
        </w:rPr>
      </w:pPr>
      <w:bookmarkStart w:id="16" w:name="_Toc2814"/>
      <w:r>
        <w:rPr>
          <w:rFonts w:hint="eastAsia" w:ascii="方正黑体_GBK" w:hAnsi="方正黑体_GBK" w:eastAsia="方正黑体_GBK" w:cs="方正黑体_GBK"/>
          <w:sz w:val="32"/>
          <w:szCs w:val="32"/>
        </w:rPr>
        <w:t>第九章  产教融合与对外合作</w:t>
      </w:r>
      <w:bookmarkEnd w:id="16"/>
    </w:p>
    <w:p w14:paraId="1CBF2587">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第一百一十五条  </w:t>
      </w:r>
      <w:r>
        <w:rPr>
          <w:rFonts w:hint="eastAsia" w:ascii="方正仿宋_GBK" w:hAnsi="方正仿宋_GBK" w:eastAsia="方正仿宋_GBK" w:cs="方正仿宋_GBK"/>
          <w:sz w:val="32"/>
          <w:szCs w:val="32"/>
        </w:rPr>
        <w:t>学院坚持开放办学，服务“一带一路”、成渝地区双城经济圈、乡村振兴等国家战略，深化产教融合校企合作，开展国际合作与交流。</w:t>
      </w:r>
    </w:p>
    <w:p w14:paraId="053EB775">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第一百一十六条  </w:t>
      </w:r>
      <w:r>
        <w:rPr>
          <w:rFonts w:hint="eastAsia" w:ascii="方正仿宋_GBK" w:hAnsi="方正仿宋_GBK" w:eastAsia="方正仿宋_GBK" w:cs="方正仿宋_GBK"/>
          <w:sz w:val="32"/>
          <w:szCs w:val="32"/>
        </w:rPr>
        <w:t>学院对接国家和地方经济社会发展及产业需求，在地方政府指导下，加强与产业园区、平台基地协同与合作。</w:t>
      </w:r>
    </w:p>
    <w:p w14:paraId="7006E146">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第一百一十七条  </w:t>
      </w:r>
      <w:r>
        <w:rPr>
          <w:rFonts w:hint="eastAsia" w:ascii="方正仿宋_GBK" w:hAnsi="方正仿宋_GBK" w:eastAsia="方正仿宋_GBK" w:cs="方正仿宋_GBK"/>
          <w:sz w:val="32"/>
          <w:szCs w:val="32"/>
        </w:rPr>
        <w:t>学院探索“园行校企”合作模式，推进办学模式、育人方式、管理体制和保障机制改革，建设产业学院、特色学院等办学实体。</w:t>
      </w:r>
    </w:p>
    <w:p w14:paraId="7C0507F5">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第一百一十八条  </w:t>
      </w:r>
      <w:r>
        <w:rPr>
          <w:rFonts w:hint="eastAsia" w:ascii="方正仿宋_GBK" w:hAnsi="方正仿宋_GBK" w:eastAsia="方正仿宋_GBK" w:cs="方正仿宋_GBK"/>
          <w:sz w:val="32"/>
          <w:szCs w:val="32"/>
        </w:rPr>
        <w:t>学院与行业、企业、高校、科研院所、培训机构和其他组织，共建研究院所、研发中心、协同创新平台和技能培训基地等。</w:t>
      </w:r>
    </w:p>
    <w:p w14:paraId="19B1E6E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第一百一十九条  </w:t>
      </w:r>
      <w:r>
        <w:rPr>
          <w:rFonts w:hint="eastAsia" w:ascii="方正仿宋_GBK" w:hAnsi="方正仿宋_GBK" w:eastAsia="方正仿宋_GBK" w:cs="方正仿宋_GBK"/>
          <w:sz w:val="32"/>
          <w:szCs w:val="32"/>
        </w:rPr>
        <w:t>学院发挥专业优势、资源优势和平台优势，参与社区学院和乡村振兴学院建设。</w:t>
      </w:r>
    </w:p>
    <w:p w14:paraId="1B95846D">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第一百二十条  </w:t>
      </w:r>
      <w:r>
        <w:rPr>
          <w:rFonts w:hint="eastAsia" w:ascii="方正仿宋_GBK" w:hAnsi="方正仿宋_GBK" w:eastAsia="方正仿宋_GBK" w:cs="方正仿宋_GBK"/>
          <w:sz w:val="32"/>
          <w:szCs w:val="32"/>
        </w:rPr>
        <w:t>学院开展全方位、多层次、宽领域的国际合作与交流。引进海外优质教育资源，与国（境）外高水平院校、企业等开展人才联合培养、科研合作与学术交流、师生交流培训、留学生教育、海外引智和国（境）外办学等。</w:t>
      </w:r>
    </w:p>
    <w:p w14:paraId="1233619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第一百二十一条  </w:t>
      </w:r>
      <w:r>
        <w:rPr>
          <w:rFonts w:hint="eastAsia" w:ascii="方正仿宋_GBK" w:hAnsi="方正仿宋_GBK" w:eastAsia="方正仿宋_GBK" w:cs="方正仿宋_GBK"/>
          <w:sz w:val="32"/>
          <w:szCs w:val="32"/>
        </w:rPr>
        <w:t>学院开展国际职业教育服务，推进专业建设、教育资源开发和相关证书开发，引进或开发与国际先进标准对接的专业标准、课程体系和考核评价体系；开设海外“鲁班工坊”，推行“中文+职业技能”等教育项目，实施职业技能培训和技术推广。</w:t>
      </w:r>
    </w:p>
    <w:p w14:paraId="3AE4E14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第一百二十二条  </w:t>
      </w:r>
      <w:r>
        <w:rPr>
          <w:rFonts w:hint="eastAsia" w:ascii="方正仿宋_GBK" w:hAnsi="方正仿宋_GBK" w:eastAsia="方正仿宋_GBK" w:cs="方正仿宋_GBK"/>
          <w:sz w:val="32"/>
          <w:szCs w:val="32"/>
        </w:rPr>
        <w:t>学院成立校友会或校友联谊会，依照校友会章程开展活动，加强校友与学院之间、校友之间的联系，关心校友成长，服务校友进步，宣传校友事迹，凝聚校友力量，支持促进学院建设发展。</w:t>
      </w:r>
    </w:p>
    <w:p w14:paraId="2C7F2A6C">
      <w:pPr>
        <w:adjustRightInd w:val="0"/>
        <w:snapToGrid w:val="0"/>
        <w:spacing w:line="560" w:lineRule="exact"/>
        <w:ind w:firstLine="640" w:firstLineChars="200"/>
        <w:rPr>
          <w:rFonts w:ascii="方正仿宋_GBK" w:hAnsi="方正仿宋_GBK" w:eastAsia="方正仿宋_GBK" w:cs="方正仿宋_GBK"/>
          <w:sz w:val="32"/>
          <w:szCs w:val="32"/>
        </w:rPr>
      </w:pPr>
    </w:p>
    <w:p w14:paraId="167DB47D">
      <w:pPr>
        <w:spacing w:line="560" w:lineRule="exact"/>
        <w:jc w:val="center"/>
        <w:outlineLvl w:val="0"/>
        <w:rPr>
          <w:rFonts w:ascii="方正黑体_GBK" w:hAnsi="方正黑体_GBK" w:eastAsia="方正黑体_GBK" w:cs="方正黑体_GBK"/>
          <w:sz w:val="32"/>
          <w:szCs w:val="32"/>
        </w:rPr>
      </w:pPr>
      <w:bookmarkStart w:id="17" w:name="_Toc19219"/>
      <w:r>
        <w:rPr>
          <w:rFonts w:hint="eastAsia" w:ascii="方正黑体_GBK" w:hAnsi="方正黑体_GBK" w:eastAsia="方正黑体_GBK" w:cs="方正黑体_GBK"/>
          <w:sz w:val="32"/>
          <w:szCs w:val="32"/>
        </w:rPr>
        <w:t>第十章  校园文化与学院标识</w:t>
      </w:r>
      <w:bookmarkEnd w:id="17"/>
    </w:p>
    <w:p w14:paraId="17A296E8">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第一百二十三条  </w:t>
      </w:r>
      <w:r>
        <w:rPr>
          <w:rFonts w:hint="eastAsia" w:ascii="方正仿宋_GBK" w:hAnsi="方正仿宋_GBK" w:eastAsia="方正仿宋_GBK" w:cs="方正仿宋_GBK"/>
          <w:sz w:val="32"/>
          <w:szCs w:val="32"/>
        </w:rPr>
        <w:t>学院履行文化传承与创新职能，坚持以社会主义核心价值观引领文化建设，传承弘扬中华优秀传统文化、革命文化和社会主义先进文化，加强校园文化建设，发挥文化引领、育人、服务功能，提升学院文化软实力和社会影响力。</w:t>
      </w:r>
    </w:p>
    <w:p w14:paraId="0ED0261C">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第一百二十四条  </w:t>
      </w:r>
      <w:r>
        <w:rPr>
          <w:rFonts w:hint="eastAsia" w:ascii="方正仿宋_GBK" w:hAnsi="方正仿宋_GBK" w:eastAsia="方正仿宋_GBK" w:cs="方正仿宋_GBK"/>
          <w:sz w:val="32"/>
          <w:szCs w:val="32"/>
        </w:rPr>
        <w:t>学院弘扬具有科创特色的大学精神，建设以学院章程为核心的制度文化；强化以劳模精神、劳动精神和工匠精神为要求的职教文化；推进以文明校园及品牌活动为载体，以生态、环保、节能、低碳“绿色校园”为基础的环境文化；塑造以图书馆、展览馆、科普基地、研学基地和众创空间等为依托的创新文化；打造以“人工智能+”为专业特色，服务高质量发展和高品质生活的学术文化。</w:t>
      </w:r>
    </w:p>
    <w:p w14:paraId="3041A22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第一百二十五条  </w:t>
      </w:r>
      <w:r>
        <w:rPr>
          <w:rFonts w:hint="eastAsia" w:ascii="方正仿宋_GBK" w:hAnsi="方正仿宋_GBK" w:eastAsia="方正仿宋_GBK" w:cs="方正仿宋_GBK"/>
          <w:sz w:val="32"/>
          <w:szCs w:val="32"/>
        </w:rPr>
        <w:t>学院推进校园传统媒体与新媒体融合发展，加强网络文化建设，守护网络舆论阵地，引导并规范师生文明上网、绿色上网、安全上网。唱响科创好声音，宣介科创好故事，丰富学院信息传播链，增强学院形象传播力和感染力，提升学院知名度和美誉度。</w:t>
      </w:r>
    </w:p>
    <w:p w14:paraId="5151956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第一百二十六条  </w:t>
      </w:r>
      <w:r>
        <w:rPr>
          <w:rFonts w:hint="eastAsia" w:ascii="方正仿宋_GBK" w:hAnsi="方正仿宋_GBK" w:eastAsia="方正仿宋_GBK" w:cs="方正仿宋_GBK"/>
          <w:sz w:val="32"/>
          <w:szCs w:val="32"/>
        </w:rPr>
        <w:t>学院围绕科创精神文化体系，凝练弘扬具有科创特色的大学精神。</w:t>
      </w:r>
    </w:p>
    <w:p w14:paraId="598510EF">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（一）办学宗旨：育技能英才 建千秋功业</w:t>
      </w:r>
    </w:p>
    <w:p w14:paraId="155839D1">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诠释：</w:t>
      </w:r>
      <w:r>
        <w:rPr>
          <w:rFonts w:hint="eastAsia" w:ascii="方正仿宋_GBK" w:hAnsi="方正仿宋_GBK" w:eastAsia="方正仿宋_GBK" w:cs="方正仿宋_GBK"/>
          <w:sz w:val="32"/>
          <w:szCs w:val="32"/>
        </w:rPr>
        <w:t>为经济社会发展培养品行良好，专业精、能力强的高技能复合人才。教育事业，功在当代，利在千秋，为中华民族伟大复兴建功立业。</w:t>
      </w:r>
    </w:p>
    <w:p w14:paraId="372DE81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（二）校    训：修身 强体 博学 感恩</w:t>
      </w:r>
    </w:p>
    <w:p w14:paraId="5FD0DB3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诠释：</w:t>
      </w:r>
      <w:r>
        <w:rPr>
          <w:rFonts w:hint="eastAsia" w:ascii="方正仿宋_GBK" w:hAnsi="方正仿宋_GBK" w:eastAsia="方正仿宋_GBK" w:cs="方正仿宋_GBK"/>
          <w:sz w:val="32"/>
          <w:szCs w:val="32"/>
        </w:rPr>
        <w:t>修身养心，努力提高道德水平；勤于锻炼，增强体质；善于学习，博览群书；感恩父母，感恩对自己有过帮助的人，感恩党和人民。</w:t>
      </w:r>
    </w:p>
    <w:p w14:paraId="70980880">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（三）办学理念：育人育德 尚知尚能</w:t>
      </w:r>
    </w:p>
    <w:p w14:paraId="79A22077">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诠释：</w:t>
      </w:r>
      <w:r>
        <w:rPr>
          <w:rFonts w:hint="eastAsia" w:ascii="方正仿宋_GBK" w:hAnsi="方正仿宋_GBK" w:eastAsia="方正仿宋_GBK" w:cs="方正仿宋_GBK"/>
          <w:sz w:val="32"/>
          <w:szCs w:val="32"/>
        </w:rPr>
        <w:t>把立德树人作为教育的根本任务。体现尊重人才，尊重知识的高等教育理念，体现重视技能人才培养的职业教育理念，为中国特色社会主义事业培养合格的建设者和可靠接班人。</w:t>
      </w:r>
    </w:p>
    <w:p w14:paraId="79D22D2E">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（四）育人理念：学历+能力 做人更重要</w:t>
      </w:r>
    </w:p>
    <w:p w14:paraId="1F191590">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（五）管理理念：以事业聚英才 以管理求质量</w:t>
      </w:r>
    </w:p>
    <w:p w14:paraId="6A85A592">
      <w:pPr>
        <w:adjustRightInd w:val="0"/>
        <w:snapToGrid w:val="0"/>
        <w:spacing w:line="560" w:lineRule="exact"/>
        <w:ind w:firstLine="3200" w:firstLineChars="10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用文化凝人心 用责任创业绩</w:t>
      </w:r>
    </w:p>
    <w:p w14:paraId="12B708E3">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（六）校    风：和谐共济 博爱进取</w:t>
      </w:r>
    </w:p>
    <w:p w14:paraId="622AD5CE">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诠释：</w:t>
      </w:r>
      <w:r>
        <w:rPr>
          <w:rFonts w:hint="eastAsia" w:ascii="方正仿宋_GBK" w:hAnsi="方正仿宋_GBK" w:eastAsia="方正仿宋_GBK" w:cs="方正仿宋_GBK"/>
          <w:sz w:val="32"/>
          <w:szCs w:val="32"/>
        </w:rPr>
        <w:t>师生和睦，校园和谐；同舟共济，胸怀大志；博爱天下，积极进取。</w:t>
      </w:r>
    </w:p>
    <w:p w14:paraId="7A90B64C">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（七）教    风：言传身教 兼容并包</w:t>
      </w:r>
    </w:p>
    <w:p w14:paraId="77DDC86B">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诠释：</w:t>
      </w:r>
      <w:r>
        <w:rPr>
          <w:rFonts w:hint="eastAsia" w:ascii="方正仿宋_GBK" w:hAnsi="方正仿宋_GBK" w:eastAsia="方正仿宋_GBK" w:cs="方正仿宋_GBK"/>
          <w:sz w:val="32"/>
          <w:szCs w:val="32"/>
        </w:rPr>
        <w:t>用语言来教导，用行动来示范。纳百家之长，不断创新教学方法。</w:t>
      </w:r>
    </w:p>
    <w:p w14:paraId="2BE34BAD">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（八）学    风：勤学善思 知行合一</w:t>
      </w:r>
    </w:p>
    <w:p w14:paraId="77A28B94">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诠释：</w:t>
      </w:r>
      <w:r>
        <w:rPr>
          <w:rFonts w:hint="eastAsia" w:ascii="方正仿宋_GBK" w:hAnsi="方正仿宋_GBK" w:eastAsia="方正仿宋_GBK" w:cs="方正仿宋_GBK"/>
          <w:sz w:val="32"/>
          <w:szCs w:val="32"/>
        </w:rPr>
        <w:t>勤于学习、善于思考。手脑并用，理论与实践相结合。</w:t>
      </w:r>
    </w:p>
    <w:p w14:paraId="77DB8887">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（九）科创精神：忠诚教育 乐于奉献</w:t>
      </w:r>
    </w:p>
    <w:p w14:paraId="1CB329FA">
      <w:pPr>
        <w:adjustRightInd w:val="0"/>
        <w:snapToGrid w:val="0"/>
        <w:spacing w:line="560" w:lineRule="exact"/>
        <w:ind w:firstLine="3200" w:firstLineChars="10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励精图治 敢为人先</w:t>
      </w:r>
    </w:p>
    <w:p w14:paraId="2278432F">
      <w:pPr>
        <w:adjustRightInd w:val="0"/>
        <w:snapToGrid w:val="0"/>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第一百二十七条  </w:t>
      </w:r>
      <w:r>
        <w:rPr>
          <w:rFonts w:hint="eastAsia" w:ascii="方正仿宋_GBK" w:hAnsi="方正仿宋_GBK" w:eastAsia="方正仿宋_GBK" w:cs="方正仿宋_GBK"/>
          <w:sz w:val="32"/>
          <w:szCs w:val="32"/>
        </w:rPr>
        <w:t>学院校徽：边沿为双正圆形线条，中间为实心圆、弯月和十字星图案，下方为学院始创年份“1993”；外环上、下方分别为弧形中、英文校名（如下图）。校徽总体设计取脚踏实地、仰望星空、蓝天白云、日月同辉之意象，既体现学院“育技能英才，建千秋功业”的办学宗旨，也彰显学院创办人“济世兴学，科教强国”的教育情怀。</w:t>
      </w:r>
    </w:p>
    <w:p w14:paraId="3900BD42">
      <w:pPr>
        <w:ind w:firstLine="420" w:firstLineChars="200"/>
        <w:jc w:val="center"/>
        <w:rPr>
          <w:rFonts w:ascii="方正仿宋_GBK" w:hAnsi="方正仿宋_GBK" w:eastAsia="方正仿宋_GBK" w:cs="方正仿宋_GBK"/>
          <w:sz w:val="32"/>
          <w:szCs w:val="32"/>
        </w:rPr>
      </w:pPr>
      <w:r>
        <w:rPr>
          <w:rFonts w:hint="eastAsia" w:ascii="方正仿宋_GBK" w:hAnsi="方正仿宋_GBK" w:eastAsia="方正仿宋_GBK" w:cs="方正仿宋_GBK"/>
        </w:rPr>
        <w:drawing>
          <wp:inline distT="0" distB="0" distL="0" distR="0">
            <wp:extent cx="1462405" cy="1425575"/>
            <wp:effectExtent l="0" t="0" r="444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470997" cy="1433687"/>
                    </a:xfrm>
                    <a:prstGeom prst="rect">
                      <a:avLst/>
                    </a:prstGeom>
                  </pic:spPr>
                </pic:pic>
              </a:graphicData>
            </a:graphic>
          </wp:inline>
        </w:drawing>
      </w:r>
    </w:p>
    <w:p w14:paraId="083319E2">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学院校徽以白色为底，蓝色为体，白色代表纯洁高雅，体现人文素养，蓝色代表精确稳定，彰显工匠精神。校徽内部弯月与内部圆环形成异型的“K”，弯月形似“C”，为“科创”汉语拼音首字母；十字星为启明星，指引方向，引领全体师生员工扎根职业教育开拓创新；内部实心圆和外部圆环形成同心圆，代表全体师生员工团结一心，勇往直前。</w:t>
      </w:r>
    </w:p>
    <w:p w14:paraId="44BC1978">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第一百二十八条  </w:t>
      </w:r>
      <w:r>
        <w:rPr>
          <w:rFonts w:hint="eastAsia" w:ascii="方正仿宋_GBK" w:hAnsi="方正仿宋_GBK" w:eastAsia="方正仿宋_GBK" w:cs="方正仿宋_GBK"/>
          <w:sz w:val="32"/>
          <w:szCs w:val="32"/>
        </w:rPr>
        <w:t>学院校歌：《科创校歌》。</w:t>
      </w:r>
    </w:p>
    <w:p w14:paraId="5F1D1DDB">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第一百二十九条  </w:t>
      </w:r>
      <w:r>
        <w:rPr>
          <w:rFonts w:hint="eastAsia" w:ascii="方正仿宋_GBK" w:hAnsi="方正仿宋_GBK" w:eastAsia="方正仿宋_GBK" w:cs="方正仿宋_GBK"/>
          <w:sz w:val="32"/>
          <w:szCs w:val="32"/>
        </w:rPr>
        <w:t>学院校庆日：12月15日。</w:t>
      </w:r>
    </w:p>
    <w:p w14:paraId="13C56118">
      <w:pPr>
        <w:spacing w:line="560" w:lineRule="exact"/>
        <w:ind w:firstLine="640" w:firstLineChars="200"/>
        <w:rPr>
          <w:rFonts w:ascii="方正仿宋_GBK" w:hAnsi="方正仿宋_GBK" w:eastAsia="方正仿宋_GBK" w:cs="方正仿宋_GBK"/>
          <w:sz w:val="32"/>
          <w:szCs w:val="32"/>
        </w:rPr>
      </w:pPr>
    </w:p>
    <w:p w14:paraId="5B4FB4AA">
      <w:pPr>
        <w:spacing w:line="560" w:lineRule="exact"/>
        <w:jc w:val="center"/>
        <w:outlineLvl w:val="0"/>
        <w:rPr>
          <w:rFonts w:ascii="方正黑体_GBK" w:hAnsi="方正黑体_GBK" w:eastAsia="方正黑体_GBK" w:cs="方正黑体_GBK"/>
          <w:sz w:val="32"/>
          <w:szCs w:val="32"/>
        </w:rPr>
      </w:pPr>
      <w:bookmarkStart w:id="18" w:name="_Toc31991"/>
      <w:r>
        <w:rPr>
          <w:rFonts w:hint="eastAsia" w:ascii="方正黑体_GBK" w:hAnsi="方正黑体_GBK" w:eastAsia="方正黑体_GBK" w:cs="方正黑体_GBK"/>
          <w:sz w:val="32"/>
          <w:szCs w:val="32"/>
        </w:rPr>
        <w:t>第十一章  基建后勤与安全保障</w:t>
      </w:r>
      <w:bookmarkEnd w:id="18"/>
    </w:p>
    <w:p w14:paraId="588775DA">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第一百三十条  </w:t>
      </w:r>
      <w:r>
        <w:rPr>
          <w:rFonts w:hint="eastAsia" w:ascii="方正仿宋_GBK" w:hAnsi="方正仿宋_GBK" w:eastAsia="方正仿宋_GBK" w:cs="方正仿宋_GBK"/>
          <w:sz w:val="32"/>
          <w:szCs w:val="32"/>
        </w:rPr>
        <w:t>学院根据办学定位和发展目标，以完善校区基础建设为重点，按照国家相关标准对新建项目采取科学规划、合理布局、整体推进、分步实施的策略，逐步建成教育教学设施完善、功能齐全、环境优美、特色鲜明的校园空间。</w:t>
      </w:r>
    </w:p>
    <w:p w14:paraId="578B6696">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第一百三十一条  </w:t>
      </w:r>
      <w:r>
        <w:rPr>
          <w:rFonts w:hint="eastAsia" w:ascii="方正仿宋_GBK" w:hAnsi="方正仿宋_GBK" w:eastAsia="方正仿宋_GBK" w:cs="方正仿宋_GBK"/>
          <w:sz w:val="32"/>
          <w:szCs w:val="32"/>
        </w:rPr>
        <w:t>学院不断完善后勤基础设施、后勤管理和服务体系，为师生员工的学习、工作和生活提供后勤保障和服务。</w:t>
      </w:r>
    </w:p>
    <w:p w14:paraId="55464E8D">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第一百三十二条  </w:t>
      </w:r>
      <w:r>
        <w:rPr>
          <w:rFonts w:hint="eastAsia" w:ascii="方正仿宋_GBK" w:hAnsi="方正仿宋_GBK" w:eastAsia="方正仿宋_GBK" w:cs="方正仿宋_GBK"/>
          <w:sz w:val="32"/>
          <w:szCs w:val="32"/>
        </w:rPr>
        <w:t>学院加强生态文明建设，绿化美化园林校园，打造特色人文景观，建设生态、环保、节能、低碳“绿色校园”。</w:t>
      </w:r>
    </w:p>
    <w:p w14:paraId="61583BAD">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第一百三十三条  </w:t>
      </w:r>
      <w:r>
        <w:rPr>
          <w:rFonts w:hint="eastAsia" w:ascii="方正仿宋_GBK" w:hAnsi="方正仿宋_GBK" w:eastAsia="方正仿宋_GBK" w:cs="方正仿宋_GBK"/>
          <w:sz w:val="32"/>
          <w:szCs w:val="32"/>
        </w:rPr>
        <w:t>学院建设网络化、数字化、智能化、个性化的校园信息化环境，运用新一代信息技术，优化智能办公系统，健全校园管理体系，丰富教育教学资源，服务教学科研管理，确保网络安全运行，实现信息技术与教育管理融合，不断提高教育信息化水平。</w:t>
      </w:r>
    </w:p>
    <w:p w14:paraId="4F58F773">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第一百三十四条  </w:t>
      </w:r>
      <w:r>
        <w:rPr>
          <w:rFonts w:hint="eastAsia" w:ascii="方正仿宋_GBK" w:hAnsi="方正仿宋_GBK" w:eastAsia="方正仿宋_GBK" w:cs="方正仿宋_GBK"/>
          <w:sz w:val="32"/>
          <w:szCs w:val="32"/>
        </w:rPr>
        <w:t>学院坚持“以人为本，生命至上”的安全发展理念，坚持“党政双重领导、主管部门统一管理、相关单位分工负责、师生员工全员参与”的工作机制，按照“属地管理、分级负责”的工作原则，建立健全安全管理工作体系，全面落实安全管理责任制和责任追究制。</w:t>
      </w:r>
    </w:p>
    <w:p w14:paraId="1C9FA7AF">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第一百三十五条  </w:t>
      </w:r>
      <w:r>
        <w:rPr>
          <w:rFonts w:hint="eastAsia" w:ascii="方正仿宋_GBK" w:hAnsi="方正仿宋_GBK" w:eastAsia="方正仿宋_GBK" w:cs="方正仿宋_GBK"/>
          <w:sz w:val="32"/>
          <w:szCs w:val="32"/>
        </w:rPr>
        <w:t>学院落实安全稳定主体责任，健全风险防控机制，完善校院两级安全教育和安全隐患双重预防机制，加强人防、物防、技防综合体系建设，健全应急处理预案，及时稳妥处置信访投诉和突发事件，强化全程监管，确保教育教学正常运行和校园环境和谐稳定。</w:t>
      </w:r>
    </w:p>
    <w:p w14:paraId="50220ABD">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第一百三十六条  </w:t>
      </w:r>
      <w:r>
        <w:rPr>
          <w:rFonts w:hint="eastAsia" w:ascii="方正仿宋_GBK" w:hAnsi="方正仿宋_GBK" w:eastAsia="方正仿宋_GBK" w:cs="方正仿宋_GBK"/>
          <w:sz w:val="32"/>
          <w:szCs w:val="32"/>
        </w:rPr>
        <w:t>学院建立健全消防、交通、公共卫生、防恐防暴、网络信息、校舍及设施设备、校内实习实训场所和校外实践活动、工程建设施工安全等规章制度，落实相关举措，在防火、防盗、防诈骗、防溺水、防自然灾害和疫情防控等方面细化措施、排查隐患，确保校园安全和师生员工生命财产安全。</w:t>
      </w:r>
    </w:p>
    <w:p w14:paraId="76076FA2">
      <w:pPr>
        <w:spacing w:line="560" w:lineRule="exact"/>
        <w:ind w:firstLine="640" w:firstLineChars="200"/>
        <w:rPr>
          <w:rFonts w:ascii="方正仿宋_GBK" w:hAnsi="方正仿宋_GBK" w:eastAsia="方正仿宋_GBK" w:cs="方正仿宋_GBK"/>
          <w:sz w:val="32"/>
          <w:szCs w:val="32"/>
        </w:rPr>
      </w:pPr>
    </w:p>
    <w:p w14:paraId="523FB64B">
      <w:pPr>
        <w:spacing w:line="560" w:lineRule="exact"/>
        <w:jc w:val="center"/>
        <w:outlineLvl w:val="0"/>
        <w:rPr>
          <w:rFonts w:ascii="方正黑体_GBK" w:hAnsi="方正黑体_GBK" w:eastAsia="方正黑体_GBK" w:cs="方正黑体_GBK"/>
          <w:sz w:val="32"/>
          <w:szCs w:val="32"/>
        </w:rPr>
      </w:pPr>
      <w:bookmarkStart w:id="19" w:name="_Toc11731"/>
      <w:r>
        <w:rPr>
          <w:rFonts w:hint="eastAsia" w:ascii="方正黑体_GBK" w:hAnsi="方正黑体_GBK" w:eastAsia="方正黑体_GBK" w:cs="方正黑体_GBK"/>
          <w:sz w:val="32"/>
          <w:szCs w:val="32"/>
        </w:rPr>
        <w:t>第十二章  资产与财务管理</w:t>
      </w:r>
      <w:bookmarkEnd w:id="19"/>
    </w:p>
    <w:p w14:paraId="091FE32D">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第一百三十七条  </w:t>
      </w:r>
      <w:r>
        <w:rPr>
          <w:rFonts w:hint="eastAsia" w:ascii="方正仿宋_GBK" w:hAnsi="方正仿宋_GBK" w:eastAsia="方正仿宋_GBK" w:cs="方正仿宋_GBK"/>
          <w:sz w:val="32"/>
          <w:szCs w:val="32"/>
        </w:rPr>
        <w:t>学院对举办者投入学院的资产、国有资产、获得的各类财政扶持资金（包括生均补助经费、发展专项资金和其他财政专项资金）、以学院名义收取的学费和住宿费、接受捐赠的收入、其他收入以及办学积累等享有法人财产权，由学院财务处进行统一核算和管理。学院存续期间，任何组织或个人不得侵占、私分、挪用、抽逃。</w:t>
      </w:r>
    </w:p>
    <w:p w14:paraId="091CEE36">
      <w:pPr>
        <w:pStyle w:val="5"/>
        <w:snapToGrid w:val="0"/>
        <w:spacing w:line="560" w:lineRule="exact"/>
        <w:ind w:firstLine="643"/>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第一百三十八条  </w:t>
      </w:r>
      <w:r>
        <w:rPr>
          <w:rFonts w:hint="eastAsia" w:ascii="方正仿宋_GBK" w:hAnsi="方正仿宋_GBK" w:eastAsia="方正仿宋_GBK" w:cs="方正仿宋_GBK"/>
          <w:sz w:val="32"/>
          <w:szCs w:val="32"/>
        </w:rPr>
        <w:t>学院办学经费主要来源为举办者投入、学费收入和住宿费收入、政府补助收入、各类培训费收入、利息收入、受赠财产、办学积累以及其他合法收入。在每个会计年度结束时，按不低于经审计的年度非限定性净资产增加额的10％的比例提取发展基金，用于学校建设、维护和教学设备购置更新、师资队伍、实训基地建设等。</w:t>
      </w:r>
    </w:p>
    <w:p w14:paraId="18F80EB6">
      <w:pPr>
        <w:pStyle w:val="5"/>
        <w:snapToGrid w:val="0"/>
        <w:spacing w:line="560" w:lineRule="exact"/>
        <w:ind w:firstLine="643"/>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rPr>
        <w:t xml:space="preserve">第一百三十九条  </w:t>
      </w:r>
      <w:r>
        <w:rPr>
          <w:rFonts w:hint="eastAsia" w:ascii="方正仿宋_GBK" w:hAnsi="方正仿宋_GBK" w:eastAsia="方正仿宋_GBK" w:cs="方正仿宋_GBK"/>
          <w:sz w:val="32"/>
        </w:rPr>
        <w:t>学院办学经费主要用于提升专业、师资队伍、实习实训基地建设等教育教学活动、改善办学条件、保障教职工待遇和学生资助所需经费。办学收入和办学结余不得在举办者、捐赠人或者董事中进行分配。</w:t>
      </w:r>
    </w:p>
    <w:p w14:paraId="1479EA90">
      <w:pPr>
        <w:widowControl/>
        <w:adjustRightInd w:val="0"/>
        <w:snapToGrid w:val="0"/>
        <w:spacing w:line="560" w:lineRule="exact"/>
        <w:ind w:firstLine="643"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第一百四十条  </w:t>
      </w:r>
      <w:r>
        <w:rPr>
          <w:rFonts w:hint="eastAsia" w:ascii="方正仿宋_GBK" w:hAnsi="方正仿宋_GBK" w:eastAsia="方正仿宋_GBK" w:cs="方正仿宋_GBK"/>
          <w:sz w:val="32"/>
          <w:szCs w:val="28"/>
        </w:rPr>
        <w:t>学院遵循办学的公益属性，参照《事业单位成本核算基本指引》《事业单位成本核算具体指引—高等学校》等制度，建立和完善办学成本核算制度，基于办学成本和市场需求等因素，遵循公平、合法和诚实守信原则，考虑经济效益与社会效益，合理确定收费项目和标准，并按相关规定报价格主管部门审批或备案。</w:t>
      </w:r>
    </w:p>
    <w:p w14:paraId="49046B86">
      <w:pPr>
        <w:spacing w:line="560" w:lineRule="exact"/>
        <w:ind w:firstLine="643" w:firstLineChars="200"/>
        <w:rPr>
          <w:rFonts w:ascii="方正仿宋_GBK" w:hAnsi="方正仿宋_GBK" w:eastAsia="方正仿宋_GBK" w:cs="方正仿宋_GBK"/>
          <w:sz w:val="32"/>
          <w:szCs w:val="28"/>
        </w:rPr>
      </w:pPr>
      <w:r>
        <w:rPr>
          <w:rFonts w:hint="eastAsia" w:ascii="方正仿宋_GBK" w:hAnsi="方正仿宋_GBK" w:eastAsia="方正仿宋_GBK" w:cs="方正仿宋_GBK"/>
          <w:b/>
          <w:bCs/>
          <w:sz w:val="32"/>
          <w:szCs w:val="32"/>
        </w:rPr>
        <w:t xml:space="preserve">第一百四十一条  </w:t>
      </w:r>
      <w:r>
        <w:rPr>
          <w:rFonts w:hint="eastAsia" w:ascii="方正仿宋_GBK" w:hAnsi="方正仿宋_GBK" w:eastAsia="方正仿宋_GBK" w:cs="方正仿宋_GBK"/>
          <w:sz w:val="32"/>
          <w:szCs w:val="28"/>
        </w:rPr>
        <w:t>学院实行“统一领导、集中管理”的财务管理体制，财务工作实行董事会领导下的校长负责制；</w:t>
      </w:r>
      <w:r>
        <w:rPr>
          <w:rFonts w:hint="eastAsia" w:ascii="方正仿宋_GBK" w:hAnsi="方正仿宋_GBK" w:eastAsia="方正仿宋_GBK" w:cs="方正仿宋_GBK"/>
          <w:sz w:val="32"/>
          <w:szCs w:val="32"/>
        </w:rPr>
        <w:t>日常财务工作接受分管财务校长的领导，</w:t>
      </w:r>
      <w:r>
        <w:rPr>
          <w:rFonts w:hint="eastAsia" w:ascii="方正仿宋_GBK" w:hAnsi="方正仿宋_GBK" w:eastAsia="方正仿宋_GBK" w:cs="方正仿宋_GBK"/>
          <w:sz w:val="32"/>
          <w:szCs w:val="28"/>
        </w:rPr>
        <w:t>坚持重大经济事项经校务会研究后报董事会集体决策；依法建立健全财务、会计制度和资产管理制度。学院执行《高等学校财务制度》《民间非营利组织会计制度》等国家有关财务会计制度，按照国家有关规定设置会计账薄，建立健全学院内部控制制度，确保学院财务管理制度、经济分配政策、经济资源配置、财务收支预算、会计核算等统一。</w:t>
      </w:r>
    </w:p>
    <w:p w14:paraId="3F6B5429">
      <w:pPr>
        <w:spacing w:line="560" w:lineRule="exact"/>
        <w:ind w:firstLine="643" w:firstLineChars="200"/>
        <w:rPr>
          <w:rFonts w:ascii="方正仿宋_GBK" w:hAnsi="方正仿宋_GBK" w:eastAsia="方正仿宋_GBK" w:cs="方正仿宋_GBK"/>
          <w:sz w:val="32"/>
          <w:szCs w:val="28"/>
        </w:rPr>
      </w:pPr>
      <w:r>
        <w:rPr>
          <w:rFonts w:hint="eastAsia" w:ascii="方正仿宋_GBK" w:hAnsi="方正仿宋_GBK" w:eastAsia="方正仿宋_GBK" w:cs="方正仿宋_GBK"/>
          <w:b/>
          <w:bCs/>
          <w:sz w:val="32"/>
          <w:szCs w:val="32"/>
        </w:rPr>
        <w:t xml:space="preserve">第一百四十二条  </w:t>
      </w:r>
      <w:r>
        <w:rPr>
          <w:rFonts w:hint="eastAsia" w:ascii="方正仿宋_GBK" w:hAnsi="方正仿宋_GBK" w:eastAsia="方正仿宋_GBK" w:cs="方正仿宋_GBK"/>
          <w:sz w:val="32"/>
          <w:szCs w:val="28"/>
        </w:rPr>
        <w:t>学院设置独立的财务机构，统一管理学院财务活动，全面负责具体财务管理工作，制定财务管理制度，牵头编制财务收支预算决算，集中管理学院各种资金和经济资源。学院财务机构应保证会计资料合法、真实、准确、完整。会计凭证、会计账簿、会计报表和其他会计资料，应按照国家有关规定建立档案，妥善保管。</w:t>
      </w:r>
    </w:p>
    <w:p w14:paraId="10F67B20">
      <w:pPr>
        <w:spacing w:line="560" w:lineRule="exact"/>
        <w:ind w:firstLine="643" w:firstLineChars="200"/>
        <w:rPr>
          <w:rFonts w:ascii="方正仿宋_GBK" w:hAnsi="方正仿宋_GBK" w:eastAsia="方正仿宋_GBK" w:cs="方正仿宋_GBK"/>
        </w:rPr>
      </w:pPr>
      <w:r>
        <w:rPr>
          <w:rFonts w:hint="eastAsia" w:ascii="方正仿宋_GBK" w:hAnsi="方正仿宋_GBK" w:eastAsia="方正仿宋_GBK" w:cs="方正仿宋_GBK"/>
          <w:b/>
          <w:bCs/>
          <w:sz w:val="32"/>
          <w:szCs w:val="32"/>
        </w:rPr>
        <w:t xml:space="preserve">第一百四十三条  </w:t>
      </w:r>
      <w:r>
        <w:rPr>
          <w:rFonts w:hint="eastAsia" w:ascii="方正仿宋_GBK" w:hAnsi="方正仿宋_GBK" w:eastAsia="方正仿宋_GBK" w:cs="方正仿宋_GBK"/>
          <w:sz w:val="32"/>
          <w:szCs w:val="32"/>
        </w:rPr>
        <w:t>学院财务机构负责人、财会人员的任职资格、工作职责、工作权限、技术职称等按照《中华人民共和国会计法》《会计基础工作规范》和《重庆市会计基础工作规范实施细则》的相关规定执行，实行职务回避制度，举办者直系亲属不得担任学院会计机构负责人、会计主管人员。会计人员调动或离职时，应办清交接手续。</w:t>
      </w:r>
    </w:p>
    <w:p w14:paraId="543F052C">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第一百四十四条  </w:t>
      </w:r>
      <w:r>
        <w:rPr>
          <w:rFonts w:hint="eastAsia" w:ascii="方正仿宋_GBK" w:hAnsi="方正仿宋_GBK" w:eastAsia="方正仿宋_GBK" w:cs="方正仿宋_GBK"/>
          <w:sz w:val="32"/>
          <w:szCs w:val="32"/>
        </w:rPr>
        <w:t>学院的对外经济活动和内部财务管理事项由董事会确定审批权限。董事长和校长在各自的权限内行使审批权，预算方案中经董事会批准的用于教育教学的日常经费，由校长进行审批；重大财务事项，须报董事会及校长审批，预算的追加、追减经费须报董事会审批。学院不得对外进行担保。学院进行对外投资坚持谨慎性原则，严格履行重大事项集体决策程序，充分论证对外投资风险和可行性，并不得因对外投资损害国家、学校、师生利益，不得对学院造成重大经济损失。</w:t>
      </w:r>
    </w:p>
    <w:p w14:paraId="6257BC3B">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第一百四十五条  </w:t>
      </w:r>
      <w:r>
        <w:rPr>
          <w:rFonts w:hint="eastAsia" w:ascii="方正仿宋_GBK" w:hAnsi="方正仿宋_GBK" w:eastAsia="方正仿宋_GBK" w:cs="方正仿宋_GBK"/>
          <w:sz w:val="32"/>
          <w:szCs w:val="32"/>
        </w:rPr>
        <w:t>学院建立健全有效的财务监督体系，维护学院正常的经济秩序；制定相适应的内部财务控制制度，加强内部财务监督，提高会计信息质量和管理水平；积极开展内控制度检查和绩效评价考核，切实推进财务公开，自觉接受师生员工的监督。</w:t>
      </w:r>
    </w:p>
    <w:p w14:paraId="7210653B">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第一百四十六条  </w:t>
      </w:r>
      <w:r>
        <w:rPr>
          <w:rFonts w:hint="eastAsia" w:ascii="方正仿宋_GBK" w:hAnsi="方正仿宋_GBK" w:eastAsia="方正仿宋_GBK" w:cs="方正仿宋_GBK"/>
          <w:sz w:val="32"/>
          <w:szCs w:val="32"/>
        </w:rPr>
        <w:t>学院建立健全预算管理制度，并明确预算编制方法和审批程序。学院按会计年度编制预算，预算包括收入预算和支出预算,学院财务处牵头组织编制年度预算草案，预算编制采取由下至上原则，各部门提出下年度收、支计划，财务处结合上年度预算执行情况和本年度目标计划,根据相关规定采用零基、定额、增长率、比较率相结合的方法，进行测算、调整、汇总编制学院年度预算草案建议，报学院校务会、董事会进行审定。将审定同意的年度预算上报业务主管单位备案，下达各部门预算指标进行管理。</w:t>
      </w:r>
    </w:p>
    <w:p w14:paraId="2D1289EE">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第一百四十七条</w:t>
      </w:r>
      <w:r>
        <w:rPr>
          <w:rFonts w:hint="eastAsia" w:ascii="方正仿宋_GBK" w:hAnsi="方正仿宋_GBK" w:eastAsia="方正仿宋_GBK" w:cs="方正仿宋_GBK"/>
          <w:sz w:val="32"/>
          <w:szCs w:val="32"/>
        </w:rPr>
        <w:t xml:space="preserve">  学院的全部收入和支出纳入学院预算管理。学院预算编制坚持“量入为出、收支平衡”的总原则。收入预算遵循“积极稳妥”原则，支出预算遵循“节约为本、保运转、保稳定、促发展、避风险、可持续、统筹兼顾”原则。支出坚持适度从紧，实行保障与控制并重的原则；建立健全各项支出管理制度，增强支出科学性、合理性、有效性；完善和执行重大支出项目的审批程序。</w:t>
      </w:r>
    </w:p>
    <w:p w14:paraId="0EC2B1A6">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学院教学经费投入应较好地满足人才培养需要，教学日常运行支出（学院开展普通本专科教学活动及其辅助活动发生的支出）占经常性财政补助和学费收入的比例和生均年教学日常运行支出应随着学院取得收入及事业发展情况的增长而逐步增长。学院年度预算的收支结余控制在合理范围之内。</w:t>
      </w:r>
    </w:p>
    <w:p w14:paraId="4C1B7623">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第一百四十八条</w:t>
      </w:r>
      <w:r>
        <w:rPr>
          <w:rFonts w:hint="eastAsia" w:ascii="方正仿宋_GBK" w:hAnsi="方正仿宋_GBK" w:eastAsia="方正仿宋_GBK" w:cs="方正仿宋_GBK"/>
          <w:sz w:val="32"/>
          <w:szCs w:val="32"/>
        </w:rPr>
        <w:t xml:space="preserve">  学院依法建立健全财务、资产管理等内部控制制度，实行“统一领导、分级管理、层层负责、责任到人”的管理机制，加强资产管理，优化资源配置，提高资源使用效益，实现资产保值增值。学院资产包括各种财产、债权和其他权利。资产可分为流动资产、长期投资、固定资产、无形资产、受托代理资产等。</w:t>
      </w:r>
    </w:p>
    <w:p w14:paraId="0E6D4A35">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第一百四十九条</w:t>
      </w:r>
      <w:r>
        <w:rPr>
          <w:rFonts w:hint="eastAsia" w:ascii="方正仿宋_GBK" w:hAnsi="方正仿宋_GBK" w:eastAsia="方正仿宋_GBK" w:cs="方正仿宋_GBK"/>
          <w:sz w:val="32"/>
          <w:szCs w:val="32"/>
        </w:rPr>
        <w:t xml:space="preserve">  学院将举办者出资、政府补助收入、捐赠收入、收费收入、办学积累等各类资产分类登记入账，定期开展资产清查，并将清查结果按照相关规定予以公布。</w:t>
      </w:r>
    </w:p>
    <w:p w14:paraId="36675996">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学院资产中的国有资产，按照国家有关规定进行管理和使用；学院依法接受的捐赠资产，按照法律法规、学院相关规定以及捐赠协议或合同的要求进行管理和使用。</w:t>
      </w:r>
    </w:p>
    <w:p w14:paraId="05C7F8E3">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第一百五十条  </w:t>
      </w:r>
      <w:r>
        <w:rPr>
          <w:rFonts w:hint="eastAsia" w:ascii="方正仿宋_GBK" w:hAnsi="方正仿宋_GBK" w:eastAsia="方正仿宋_GBK" w:cs="方正仿宋_GBK"/>
          <w:sz w:val="32"/>
          <w:szCs w:val="32"/>
        </w:rPr>
        <w:t>学院对接受学历教育的受教育者收取的学费按照重庆</w:t>
      </w:r>
      <w:r>
        <w:rPr>
          <w:rFonts w:hint="eastAsia" w:ascii="方正仿宋_GBK" w:hAnsi="方正仿宋_GBK" w:eastAsia="方正仿宋_GBK" w:cs="方正仿宋_GBK"/>
          <w:sz w:val="32"/>
          <w:szCs w:val="32"/>
          <w:lang w:eastAsia="zh-CN"/>
        </w:rPr>
        <w:t>市发展和改革委员会</w:t>
      </w:r>
      <w:r>
        <w:rPr>
          <w:rFonts w:hint="eastAsia" w:ascii="方正仿宋_GBK" w:hAnsi="方正仿宋_GBK" w:eastAsia="方正仿宋_GBK" w:cs="方正仿宋_GBK"/>
          <w:sz w:val="32"/>
          <w:szCs w:val="32"/>
        </w:rPr>
        <w:t>规定收费标准进行申报，批准之后严格执行收费标准，不得擅自提高收费标准。</w:t>
      </w:r>
    </w:p>
    <w:p w14:paraId="3AAFD752">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学院收取受教育者的住宿费，遵循公平、合法和诚实信用原则，基于办学成本、市场需求、经济效益与社会效益等综合因素考虑，合理自主定价收取；培训费收取标准应向有关行政部门备案</w:t>
      </w:r>
      <w:r>
        <w:rPr>
          <w:rStyle w:val="18"/>
          <w:rFonts w:hint="eastAsia" w:ascii="方正仿宋_GBK" w:hAnsi="方正仿宋_GBK" w:eastAsia="方正仿宋_GBK" w:cs="方正仿宋_GBK"/>
        </w:rPr>
        <w:t>；</w:t>
      </w:r>
      <w:r>
        <w:rPr>
          <w:rFonts w:hint="eastAsia" w:ascii="方正仿宋_GBK" w:hAnsi="方正仿宋_GBK" w:eastAsia="方正仿宋_GBK" w:cs="方正仿宋_GBK"/>
          <w:sz w:val="32"/>
          <w:szCs w:val="32"/>
        </w:rPr>
        <w:t>服务性收费和代收费收取按照渝价〔2009〕76号执行（若有新文件出台，按照新文件执行），代收费据实结算，多退少补。</w:t>
      </w:r>
    </w:p>
    <w:p w14:paraId="70CC2F64">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第一百五十一条  </w:t>
      </w:r>
      <w:r>
        <w:rPr>
          <w:rFonts w:hint="eastAsia" w:ascii="方正仿宋_GBK" w:hAnsi="方正仿宋_GBK" w:eastAsia="方正仿宋_GBK" w:cs="方正仿宋_GBK"/>
          <w:sz w:val="32"/>
          <w:szCs w:val="32"/>
        </w:rPr>
        <w:t>学院严格执行教育收费公示制度，收费标准向学生公示，主动接受学生、家长和社会的监督。</w:t>
      </w:r>
    </w:p>
    <w:p w14:paraId="1C93A2A8">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 xml:space="preserve">第一百五十二条  </w:t>
      </w:r>
      <w:r>
        <w:rPr>
          <w:rFonts w:hint="eastAsia" w:ascii="方正仿宋_GBK" w:hAnsi="方正仿宋_GBK" w:eastAsia="方正仿宋_GBK" w:cs="方正仿宋_GBK"/>
          <w:sz w:val="32"/>
          <w:szCs w:val="32"/>
        </w:rPr>
        <w:t>学院收取费用、开展活动的资金往来，使用在业务主管单位备案的账户，接受业务主管单位监督。</w:t>
      </w:r>
    </w:p>
    <w:p w14:paraId="38507956">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第一百五十三条  </w:t>
      </w:r>
      <w:r>
        <w:rPr>
          <w:rFonts w:hint="eastAsia" w:ascii="方正仿宋_GBK" w:hAnsi="方正仿宋_GBK" w:eastAsia="方正仿宋_GBK" w:cs="方正仿宋_GBK"/>
          <w:sz w:val="32"/>
          <w:szCs w:val="32"/>
        </w:rPr>
        <w:t>在不损害国家利益、学院利益和师生权益的前提下，学院与举办者、举办者的关联方或其他利益关联方进行交易的，遵循公开、公平、公允的原则，合理定价，按照重大事项集体决策程序，由学院校务会研究，董事会依据相关法律决策，与利益关联方签订协议。学院建立利益关联方交易的信息披露制度，接受教育、财政等有关部门对学院与利益关联方签订协议的监管，并按年度接受相关部门对关联交易的审查。</w:t>
      </w:r>
    </w:p>
    <w:p w14:paraId="2C85078A">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第一百五十四条  </w:t>
      </w:r>
      <w:r>
        <w:rPr>
          <w:rFonts w:hint="eastAsia" w:ascii="方正仿宋_GBK" w:hAnsi="方正仿宋_GBK" w:eastAsia="方正仿宋_GBK" w:cs="方正仿宋_GBK"/>
          <w:sz w:val="32"/>
          <w:szCs w:val="32"/>
        </w:rPr>
        <w:t>学院依法多渠道筹措资金，以满足与办学条件和建设发展相适应的经费需求。</w:t>
      </w:r>
    </w:p>
    <w:p w14:paraId="40B81E2D">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第一百五十五条</w:t>
      </w:r>
      <w:r>
        <w:rPr>
          <w:rFonts w:hint="eastAsia" w:ascii="方正仿宋_GBK" w:hAnsi="方正仿宋_GBK" w:eastAsia="方正仿宋_GBK" w:cs="方正仿宋_GBK"/>
          <w:sz w:val="32"/>
          <w:szCs w:val="32"/>
        </w:rPr>
        <w:t xml:space="preserve">  学院建立风险预警机制，合理控制学院负债规模，改善学院债务结构，充分考虑学院自身债务风险承受能力，有效防范财务风险。学院不得作为举办者及其关联方的融资平台，学院融资遵守有关法律法规及制度规定，以学院名义融资的款项，全部用于教育教学发展的需要。</w:t>
      </w:r>
    </w:p>
    <w:p w14:paraId="644F4361">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第一百五十六条  </w:t>
      </w:r>
      <w:r>
        <w:rPr>
          <w:rFonts w:hint="eastAsia" w:ascii="方正仿宋_GBK" w:hAnsi="方正仿宋_GBK" w:eastAsia="方正仿宋_GBK" w:cs="方正仿宋_GBK"/>
          <w:sz w:val="32"/>
          <w:szCs w:val="32"/>
        </w:rPr>
        <w:t>学院在每一会计年度终了时编制年度财务报告，并依法经会计师事务所审计。财务报告依照法律、行政法规和国务院财政部门规定制作，并按照相关的规定进行公示。</w:t>
      </w:r>
    </w:p>
    <w:p w14:paraId="4B10C202">
      <w:pPr>
        <w:spacing w:line="560" w:lineRule="exact"/>
        <w:ind w:firstLine="640" w:firstLineChars="200"/>
        <w:rPr>
          <w:rFonts w:ascii="方正仿宋_GBK" w:hAnsi="方正仿宋_GBK" w:eastAsia="方正仿宋_GBK" w:cs="方正仿宋_GBK"/>
          <w:sz w:val="32"/>
          <w:szCs w:val="32"/>
        </w:rPr>
      </w:pPr>
    </w:p>
    <w:p w14:paraId="0E236EA2">
      <w:pPr>
        <w:spacing w:line="560" w:lineRule="exact"/>
        <w:jc w:val="center"/>
        <w:outlineLvl w:val="0"/>
        <w:rPr>
          <w:rFonts w:ascii="方正黑体_GBK" w:hAnsi="方正黑体_GBK" w:eastAsia="方正黑体_GBK" w:cs="方正黑体_GBK"/>
          <w:sz w:val="32"/>
          <w:szCs w:val="32"/>
        </w:rPr>
      </w:pPr>
      <w:bookmarkStart w:id="20" w:name="_Toc12501"/>
      <w:r>
        <w:rPr>
          <w:rFonts w:hint="eastAsia" w:ascii="方正黑体_GBK" w:hAnsi="方正黑体_GBK" w:eastAsia="方正黑体_GBK" w:cs="方正黑体_GBK"/>
          <w:sz w:val="32"/>
          <w:szCs w:val="32"/>
        </w:rPr>
        <w:t>第十三章  变更与终止</w:t>
      </w:r>
      <w:bookmarkEnd w:id="20"/>
    </w:p>
    <w:p w14:paraId="00F3A0CB">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第一百五十七条  </w:t>
      </w:r>
      <w:r>
        <w:rPr>
          <w:rFonts w:hint="eastAsia" w:ascii="方正仿宋_GBK" w:hAnsi="方正仿宋_GBK" w:eastAsia="方正仿宋_GBK" w:cs="方正仿宋_GBK"/>
          <w:sz w:val="32"/>
          <w:szCs w:val="32"/>
        </w:rPr>
        <w:t>学院的分立、合并，在进行财务清算后，由学院董事会报审批机关批准，向登记管理单位办理注册或注销登记。</w:t>
      </w:r>
    </w:p>
    <w:p w14:paraId="7F53DBBD">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第一百五十八条  </w:t>
      </w:r>
      <w:r>
        <w:rPr>
          <w:rFonts w:hint="eastAsia" w:ascii="方正仿宋_GBK" w:hAnsi="方正仿宋_GBK" w:eastAsia="方正仿宋_GBK" w:cs="方正仿宋_GBK"/>
          <w:sz w:val="32"/>
          <w:szCs w:val="32"/>
        </w:rPr>
        <w:t>学院举办者的变更，须由举办者提出，在进行财务清算后，经学院董事会同意，报审批机关核准。学院举办者变更，须签订变更协议，但不得涉及学院的法人财产，也不得影响学院发展，不得损害师生权益。举办者的控股股东和实际控制人应当符合法律、行政法规规定的举办民办学校的条件，控股股东和实际控制人变更的，须报业务主管单位备案并公示。</w:t>
      </w:r>
    </w:p>
    <w:p w14:paraId="06AF4DBC">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第一百五十九条  </w:t>
      </w:r>
      <w:r>
        <w:rPr>
          <w:rFonts w:hint="eastAsia" w:ascii="方正仿宋_GBK" w:hAnsi="方正仿宋_GBK" w:eastAsia="方正仿宋_GBK" w:cs="方正仿宋_GBK"/>
          <w:sz w:val="32"/>
          <w:szCs w:val="32"/>
        </w:rPr>
        <w:t>学院名称、层次、类别的变更，由学院董事会报审批机关批准。</w:t>
      </w:r>
    </w:p>
    <w:p w14:paraId="6BB33977">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第一百六十条  </w:t>
      </w:r>
      <w:r>
        <w:rPr>
          <w:rFonts w:hint="eastAsia" w:ascii="方正仿宋_GBK" w:hAnsi="方正仿宋_GBK" w:eastAsia="方正仿宋_GBK" w:cs="方正仿宋_GBK"/>
          <w:sz w:val="32"/>
          <w:szCs w:val="32"/>
        </w:rPr>
        <w:t>学院法定代表人变更须到登记管理单位进行变更登记，变更前须进行财务审计。</w:t>
      </w:r>
    </w:p>
    <w:p w14:paraId="1F9A2652">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第一百六十一条</w:t>
      </w:r>
      <w:r>
        <w:rPr>
          <w:rFonts w:hint="eastAsia" w:ascii="方正仿宋_GBK" w:hAnsi="方正仿宋_GBK" w:eastAsia="方正仿宋_GBK" w:cs="方正仿宋_GBK"/>
          <w:sz w:val="32"/>
          <w:szCs w:val="32"/>
        </w:rPr>
        <w:t xml:space="preserve">  学院有下列情形之一的，应当终止：</w:t>
      </w:r>
    </w:p>
    <w:p w14:paraId="79E866FD">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（一）因学院自行决定终止，并经审批机关批准的；</w:t>
      </w:r>
    </w:p>
    <w:p w14:paraId="5306709B">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（二）被吊销办学许可证的；</w:t>
      </w:r>
    </w:p>
    <w:p w14:paraId="78D4DBF7">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（三）因资不抵债无法继续办学的。</w:t>
      </w:r>
    </w:p>
    <w:p w14:paraId="3B403D15">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第一百六十二条  </w:t>
      </w:r>
      <w:r>
        <w:rPr>
          <w:rFonts w:hint="eastAsia" w:ascii="方正仿宋_GBK" w:hAnsi="方正仿宋_GBK" w:eastAsia="方正仿宋_GBK" w:cs="方正仿宋_GBK"/>
          <w:sz w:val="32"/>
          <w:szCs w:val="32"/>
        </w:rPr>
        <w:t>学院终止时，应当依法进行财务清算。</w:t>
      </w:r>
    </w:p>
    <w:p w14:paraId="77BDC5A2">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学院自行终止的，在审批机关监督下，由学院组织清算；被审批机关撤销的，由审批机关组织清算；因资不抵债无法继续办学而被终止的，由人民法院组织清算。</w:t>
      </w:r>
    </w:p>
    <w:p w14:paraId="6781185E">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第一百六十三条  </w:t>
      </w:r>
      <w:r>
        <w:rPr>
          <w:rFonts w:hint="eastAsia" w:ascii="方正仿宋_GBK" w:hAnsi="方正仿宋_GBK" w:eastAsia="方正仿宋_GBK" w:cs="方正仿宋_GBK"/>
          <w:sz w:val="32"/>
          <w:szCs w:val="32"/>
        </w:rPr>
        <w:t>学院终止时，应妥善处理各项遗留问题。学院的财产首先应清退学生学费、杂费和其他费用；其次支付所欠教职工的薪资及社会保险缴费；最后偿还银行贷款及其他各种债务。清偿上述债务后的剩余财产，按照有关法律、行政法规的规定处理。</w:t>
      </w:r>
    </w:p>
    <w:p w14:paraId="2917EB11">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第一百六十四条  </w:t>
      </w:r>
      <w:r>
        <w:rPr>
          <w:rFonts w:hint="eastAsia" w:ascii="方正仿宋_GBK" w:hAnsi="方正仿宋_GBK" w:eastAsia="方正仿宋_GBK" w:cs="方正仿宋_GBK"/>
          <w:sz w:val="32"/>
          <w:szCs w:val="32"/>
        </w:rPr>
        <w:t>学院终止时，应及时向审批机关缴回学院办学许可证和印章，并到登记管理单位依法办理法人注销登记手续。</w:t>
      </w:r>
    </w:p>
    <w:p w14:paraId="301ABC95">
      <w:pPr>
        <w:spacing w:line="560" w:lineRule="exact"/>
        <w:ind w:firstLine="640" w:firstLineChars="200"/>
        <w:rPr>
          <w:rFonts w:ascii="方正仿宋_GBK" w:hAnsi="方正仿宋_GBK" w:eastAsia="方正仿宋_GBK" w:cs="方正仿宋_GBK"/>
          <w:sz w:val="32"/>
          <w:szCs w:val="32"/>
        </w:rPr>
      </w:pPr>
    </w:p>
    <w:p w14:paraId="7186FD7D">
      <w:pPr>
        <w:spacing w:line="560" w:lineRule="exact"/>
        <w:jc w:val="center"/>
        <w:outlineLvl w:val="0"/>
        <w:rPr>
          <w:rFonts w:ascii="方正黑体_GBK" w:hAnsi="方正黑体_GBK" w:eastAsia="方正黑体_GBK" w:cs="方正黑体_GBK"/>
          <w:sz w:val="32"/>
          <w:szCs w:val="32"/>
        </w:rPr>
      </w:pPr>
      <w:bookmarkStart w:id="21" w:name="_Toc27518"/>
      <w:r>
        <w:rPr>
          <w:rFonts w:hint="eastAsia" w:ascii="方正黑体_GBK" w:hAnsi="方正黑体_GBK" w:eastAsia="方正黑体_GBK" w:cs="方正黑体_GBK"/>
          <w:sz w:val="32"/>
          <w:szCs w:val="32"/>
        </w:rPr>
        <w:t>第十四章  附  则</w:t>
      </w:r>
      <w:bookmarkEnd w:id="21"/>
    </w:p>
    <w:p w14:paraId="52BF7FB4">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第一百六十五条  </w:t>
      </w:r>
      <w:r>
        <w:rPr>
          <w:rFonts w:hint="eastAsia" w:ascii="方正仿宋_GBK" w:hAnsi="方正仿宋_GBK" w:eastAsia="方正仿宋_GBK" w:cs="方正仿宋_GBK"/>
          <w:sz w:val="32"/>
          <w:szCs w:val="32"/>
        </w:rPr>
        <w:t>有以下几种情况之一，并经学院相关组织机构认定，章程应进入修改程序：</w:t>
      </w:r>
    </w:p>
    <w:p w14:paraId="498FD02E">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（一）章程依据的教育政策或法律法规发生变化；</w:t>
      </w:r>
    </w:p>
    <w:p w14:paraId="34E9D587">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（二）学院举办者与管理体制发生变化；</w:t>
      </w:r>
    </w:p>
    <w:p w14:paraId="49AE2B3C">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（三）学院的办学理念、办学目标等发生变化；</w:t>
      </w:r>
    </w:p>
    <w:p w14:paraId="1F6EBE1E">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（四）确需修改章程的其他事宜。</w:t>
      </w:r>
    </w:p>
    <w:p w14:paraId="7BE62CD8">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第一百六十六条  </w:t>
      </w:r>
      <w:r>
        <w:rPr>
          <w:rFonts w:hint="eastAsia" w:ascii="方正仿宋_GBK" w:hAnsi="方正仿宋_GBK" w:eastAsia="方正仿宋_GBK" w:cs="方正仿宋_GBK"/>
          <w:sz w:val="32"/>
          <w:szCs w:val="32"/>
        </w:rPr>
        <w:t>学院修改章程应事先公告，征求利益相关方意见。其修改程序按董事会重大事项议事规则执行。</w:t>
      </w:r>
    </w:p>
    <w:p w14:paraId="132072C3">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第一百六十七条  </w:t>
      </w:r>
      <w:r>
        <w:rPr>
          <w:rFonts w:hint="eastAsia" w:ascii="方正仿宋_GBK" w:hAnsi="方正仿宋_GBK" w:eastAsia="方正仿宋_GBK" w:cs="方正仿宋_GBK"/>
          <w:sz w:val="32"/>
          <w:szCs w:val="32"/>
        </w:rPr>
        <w:t>本章程修订完成，经学院教代会、党委会和校务会审议通过，由学院董事会审定，报业务主管单位核准和登记管理单位备案后生效并施行。</w:t>
      </w:r>
    </w:p>
    <w:p w14:paraId="13BD8B23">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第一百六十八条  </w:t>
      </w:r>
      <w:r>
        <w:rPr>
          <w:rFonts w:hint="eastAsia" w:ascii="方正仿宋_GBK" w:hAnsi="方正仿宋_GBK" w:eastAsia="方正仿宋_GBK" w:cs="方正仿宋_GBK"/>
          <w:sz w:val="32"/>
          <w:szCs w:val="32"/>
        </w:rPr>
        <w:t>本章程解释权属学院董事会。</w:t>
      </w:r>
    </w:p>
    <w:sectPr>
      <w:footerReference r:id="rId3" w:type="default"/>
      <w:footerReference r:id="rId4" w:type="even"/>
      <w:pgSz w:w="11906" w:h="16838"/>
      <w:pgMar w:top="1984" w:right="1446" w:bottom="1644" w:left="1446" w:header="851" w:footer="1247" w:gutter="0"/>
      <w:pgNumType w:fmt="numberInDash"/>
      <w:cols w:space="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A0ADE0-1607-400A-850A-4B0304CAC5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2" w:fontKey="{DF8D4128-38FB-4C4F-AFA8-8B23C7937C83}"/>
  </w:font>
  <w:font w:name="方正仿宋_GBK">
    <w:panose1 w:val="03000509000000000000"/>
    <w:charset w:val="86"/>
    <w:family w:val="script"/>
    <w:pitch w:val="default"/>
    <w:sig w:usb0="00000001" w:usb1="080E0000" w:usb2="00000000" w:usb3="00000000" w:csb0="00040000" w:csb1="00000000"/>
    <w:embedRegular r:id="rId3" w:fontKey="{0BF423DE-B44D-446E-8AB7-F0560E55E5C5}"/>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4" w:fontKey="{56D8BD77-2D49-456E-AC44-CFF020D6D66E}"/>
  </w:font>
  <w:font w:name="方正楷体_GBK">
    <w:panose1 w:val="02000000000000000000"/>
    <w:charset w:val="86"/>
    <w:family w:val="script"/>
    <w:pitch w:val="default"/>
    <w:sig w:usb0="800002BF" w:usb1="38CF7CFA" w:usb2="00000016" w:usb3="00000000" w:csb0="00040000" w:csb1="00000000"/>
    <w:embedRegular r:id="rId5" w:fontKey="{149B28AE-8B60-4ECF-8971-849A3BF3A39F}"/>
  </w:font>
  <w:font w:name="方正黑体_GBK">
    <w:panose1 w:val="02010600010101010101"/>
    <w:charset w:val="86"/>
    <w:family w:val="script"/>
    <w:pitch w:val="default"/>
    <w:sig w:usb0="00000001" w:usb1="080E0000" w:usb2="00000000" w:usb3="00000000" w:csb0="00040000" w:csb1="00000000"/>
    <w:embedRegular r:id="rId6" w:fontKey="{CD9D67A2-FBB0-4838-91E5-9921320D9D53}"/>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2E3BA">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CCEF6">
                          <w:pPr>
                            <w:pStyle w:val="7"/>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- 5 -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88CCEF6">
                    <w:pPr>
                      <w:pStyle w:val="7"/>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- 5 -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808A2">
    <w:pPr>
      <w:pStyle w:val="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94225">
                          <w:pPr>
                            <w:pStyle w:val="7"/>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5E94225">
                    <w:pPr>
                      <w:pStyle w:val="7"/>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dit="readOnly" w:enforcement="0"/>
  <w:defaultTabStop w:val="420"/>
  <w:evenAndOddHeaders w:val="1"/>
  <w:drawingGridHorizontalSpacing w:val="210"/>
  <w:drawingGridVerticalSpacing w:val="156"/>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ODVkMGI5MThjZGU4ZjJlYTQxMzBjOGE4YjI5Y2QifQ=="/>
    <w:docVar w:name="KGWebUrl" w:val="http://202.202.16.21/seeyon/officeservlet"/>
  </w:docVars>
  <w:rsids>
    <w:rsidRoot w:val="00586D40"/>
    <w:rsid w:val="00093E47"/>
    <w:rsid w:val="00114B1F"/>
    <w:rsid w:val="001225FC"/>
    <w:rsid w:val="00140F26"/>
    <w:rsid w:val="001A5854"/>
    <w:rsid w:val="001C6CCE"/>
    <w:rsid w:val="001F5F28"/>
    <w:rsid w:val="00294959"/>
    <w:rsid w:val="002A0711"/>
    <w:rsid w:val="002C4099"/>
    <w:rsid w:val="0031357D"/>
    <w:rsid w:val="00314978"/>
    <w:rsid w:val="00324F6C"/>
    <w:rsid w:val="00347771"/>
    <w:rsid w:val="003537CF"/>
    <w:rsid w:val="0037287D"/>
    <w:rsid w:val="00396233"/>
    <w:rsid w:val="003D0404"/>
    <w:rsid w:val="003D166B"/>
    <w:rsid w:val="004E2611"/>
    <w:rsid w:val="004F009D"/>
    <w:rsid w:val="00512D6C"/>
    <w:rsid w:val="005431EC"/>
    <w:rsid w:val="00586D40"/>
    <w:rsid w:val="00594716"/>
    <w:rsid w:val="005A4E11"/>
    <w:rsid w:val="0060209E"/>
    <w:rsid w:val="0061629C"/>
    <w:rsid w:val="00661F62"/>
    <w:rsid w:val="00671131"/>
    <w:rsid w:val="00674CCD"/>
    <w:rsid w:val="00686453"/>
    <w:rsid w:val="00691D3C"/>
    <w:rsid w:val="007274AD"/>
    <w:rsid w:val="00733DF8"/>
    <w:rsid w:val="007432D6"/>
    <w:rsid w:val="007515FF"/>
    <w:rsid w:val="007842D5"/>
    <w:rsid w:val="007C7EB1"/>
    <w:rsid w:val="008252B7"/>
    <w:rsid w:val="00841963"/>
    <w:rsid w:val="00890145"/>
    <w:rsid w:val="00950286"/>
    <w:rsid w:val="00967E0D"/>
    <w:rsid w:val="00A10310"/>
    <w:rsid w:val="00A106C1"/>
    <w:rsid w:val="00A21D95"/>
    <w:rsid w:val="00A2654B"/>
    <w:rsid w:val="00A90838"/>
    <w:rsid w:val="00AB247D"/>
    <w:rsid w:val="00AC4A84"/>
    <w:rsid w:val="00AD41A8"/>
    <w:rsid w:val="00B4487E"/>
    <w:rsid w:val="00B77F37"/>
    <w:rsid w:val="00B85EEB"/>
    <w:rsid w:val="00C14DE7"/>
    <w:rsid w:val="00C54BDE"/>
    <w:rsid w:val="00C565AD"/>
    <w:rsid w:val="00C856C5"/>
    <w:rsid w:val="00C87FB4"/>
    <w:rsid w:val="00CA766D"/>
    <w:rsid w:val="00CB6B57"/>
    <w:rsid w:val="00D75FD0"/>
    <w:rsid w:val="00DD0A3C"/>
    <w:rsid w:val="00E8596E"/>
    <w:rsid w:val="00ED6053"/>
    <w:rsid w:val="00ED6C1C"/>
    <w:rsid w:val="00EE7C31"/>
    <w:rsid w:val="00F60CB9"/>
    <w:rsid w:val="00F61D60"/>
    <w:rsid w:val="00F642A7"/>
    <w:rsid w:val="00F733EF"/>
    <w:rsid w:val="00FF29DA"/>
    <w:rsid w:val="01885E13"/>
    <w:rsid w:val="01CA3F1A"/>
    <w:rsid w:val="01E21263"/>
    <w:rsid w:val="01EF3980"/>
    <w:rsid w:val="024E68F9"/>
    <w:rsid w:val="0293255D"/>
    <w:rsid w:val="0296253D"/>
    <w:rsid w:val="029C4878"/>
    <w:rsid w:val="02C646E1"/>
    <w:rsid w:val="03043AE8"/>
    <w:rsid w:val="037B54CB"/>
    <w:rsid w:val="03C74BB5"/>
    <w:rsid w:val="041318F7"/>
    <w:rsid w:val="04231082"/>
    <w:rsid w:val="04AE18D1"/>
    <w:rsid w:val="05412745"/>
    <w:rsid w:val="056F2E0E"/>
    <w:rsid w:val="05B9052D"/>
    <w:rsid w:val="05DE7F94"/>
    <w:rsid w:val="060F639F"/>
    <w:rsid w:val="0673692E"/>
    <w:rsid w:val="06826B71"/>
    <w:rsid w:val="06C37BD3"/>
    <w:rsid w:val="06F37A6F"/>
    <w:rsid w:val="06FB62C0"/>
    <w:rsid w:val="071B46F0"/>
    <w:rsid w:val="073F2CB4"/>
    <w:rsid w:val="07B76CEE"/>
    <w:rsid w:val="07ED44BE"/>
    <w:rsid w:val="07F13FAE"/>
    <w:rsid w:val="084762C4"/>
    <w:rsid w:val="086F75C9"/>
    <w:rsid w:val="091C631B"/>
    <w:rsid w:val="09A3752A"/>
    <w:rsid w:val="09AB02E8"/>
    <w:rsid w:val="09E10052"/>
    <w:rsid w:val="09F47D86"/>
    <w:rsid w:val="09FE0C04"/>
    <w:rsid w:val="0A165F4E"/>
    <w:rsid w:val="0A222B45"/>
    <w:rsid w:val="0A3E54A5"/>
    <w:rsid w:val="0A4405EF"/>
    <w:rsid w:val="0A5D3B7D"/>
    <w:rsid w:val="0A99092D"/>
    <w:rsid w:val="0A9F23E7"/>
    <w:rsid w:val="0AA55524"/>
    <w:rsid w:val="0AFD2C6A"/>
    <w:rsid w:val="0B224DC6"/>
    <w:rsid w:val="0B9335CE"/>
    <w:rsid w:val="0BBA6DAD"/>
    <w:rsid w:val="0BCC5F03"/>
    <w:rsid w:val="0BE91440"/>
    <w:rsid w:val="0C2D57D1"/>
    <w:rsid w:val="0CB832EC"/>
    <w:rsid w:val="0CD45C4C"/>
    <w:rsid w:val="0CDB522D"/>
    <w:rsid w:val="0D5D6A54"/>
    <w:rsid w:val="0DE6032D"/>
    <w:rsid w:val="0E830AF3"/>
    <w:rsid w:val="0E8C4A31"/>
    <w:rsid w:val="0E9E1642"/>
    <w:rsid w:val="0ECC12D1"/>
    <w:rsid w:val="103233B6"/>
    <w:rsid w:val="10525806"/>
    <w:rsid w:val="105C0433"/>
    <w:rsid w:val="10637A13"/>
    <w:rsid w:val="10FB40F0"/>
    <w:rsid w:val="11B36778"/>
    <w:rsid w:val="11BB562D"/>
    <w:rsid w:val="11BB73DB"/>
    <w:rsid w:val="11BD13A5"/>
    <w:rsid w:val="11C149C2"/>
    <w:rsid w:val="126D4B79"/>
    <w:rsid w:val="13201BEB"/>
    <w:rsid w:val="132536A6"/>
    <w:rsid w:val="134578A4"/>
    <w:rsid w:val="13484B32"/>
    <w:rsid w:val="13893AFB"/>
    <w:rsid w:val="13954387"/>
    <w:rsid w:val="139C4D79"/>
    <w:rsid w:val="13BD743A"/>
    <w:rsid w:val="14496F20"/>
    <w:rsid w:val="156D6C3E"/>
    <w:rsid w:val="15C03212"/>
    <w:rsid w:val="15D31197"/>
    <w:rsid w:val="16005D04"/>
    <w:rsid w:val="16361726"/>
    <w:rsid w:val="164200CB"/>
    <w:rsid w:val="169052DA"/>
    <w:rsid w:val="1695644C"/>
    <w:rsid w:val="17AD77C6"/>
    <w:rsid w:val="17B84AE8"/>
    <w:rsid w:val="17EB6C6C"/>
    <w:rsid w:val="18300B23"/>
    <w:rsid w:val="18512847"/>
    <w:rsid w:val="186B3909"/>
    <w:rsid w:val="18F27B86"/>
    <w:rsid w:val="18F57676"/>
    <w:rsid w:val="191341E0"/>
    <w:rsid w:val="194B7296"/>
    <w:rsid w:val="19706CFD"/>
    <w:rsid w:val="197B53D3"/>
    <w:rsid w:val="19831126"/>
    <w:rsid w:val="198A6011"/>
    <w:rsid w:val="19D44C57"/>
    <w:rsid w:val="1A037B71"/>
    <w:rsid w:val="1A0F2313"/>
    <w:rsid w:val="1A165AF6"/>
    <w:rsid w:val="1A9C351E"/>
    <w:rsid w:val="1A9F5AEC"/>
    <w:rsid w:val="1B043BA1"/>
    <w:rsid w:val="1B2F50C2"/>
    <w:rsid w:val="1B3B1CB8"/>
    <w:rsid w:val="1B707488"/>
    <w:rsid w:val="1BD25A4D"/>
    <w:rsid w:val="1C47468D"/>
    <w:rsid w:val="1C6C40F3"/>
    <w:rsid w:val="1CBF5FD1"/>
    <w:rsid w:val="1CC63804"/>
    <w:rsid w:val="1CEB6197"/>
    <w:rsid w:val="1CF55E97"/>
    <w:rsid w:val="1D33169F"/>
    <w:rsid w:val="1D350989"/>
    <w:rsid w:val="1D8334A3"/>
    <w:rsid w:val="1D974A1C"/>
    <w:rsid w:val="1DA63635"/>
    <w:rsid w:val="1E2702D2"/>
    <w:rsid w:val="1E8079E2"/>
    <w:rsid w:val="1E88623C"/>
    <w:rsid w:val="1E894AE9"/>
    <w:rsid w:val="1EFB350D"/>
    <w:rsid w:val="1F680BA2"/>
    <w:rsid w:val="1F707A57"/>
    <w:rsid w:val="20232D1B"/>
    <w:rsid w:val="203942EC"/>
    <w:rsid w:val="204F58BE"/>
    <w:rsid w:val="20621A95"/>
    <w:rsid w:val="206B66FE"/>
    <w:rsid w:val="20730651"/>
    <w:rsid w:val="2091237A"/>
    <w:rsid w:val="20BB11A5"/>
    <w:rsid w:val="20E71F9A"/>
    <w:rsid w:val="21224D81"/>
    <w:rsid w:val="212C5BFF"/>
    <w:rsid w:val="21522262"/>
    <w:rsid w:val="215238B8"/>
    <w:rsid w:val="2180399D"/>
    <w:rsid w:val="21911904"/>
    <w:rsid w:val="21B04A82"/>
    <w:rsid w:val="21F4496F"/>
    <w:rsid w:val="2230171F"/>
    <w:rsid w:val="227E06DD"/>
    <w:rsid w:val="22EF3388"/>
    <w:rsid w:val="237C4C1C"/>
    <w:rsid w:val="237D6BE6"/>
    <w:rsid w:val="239A32F4"/>
    <w:rsid w:val="24092228"/>
    <w:rsid w:val="2429042B"/>
    <w:rsid w:val="24466FD8"/>
    <w:rsid w:val="252200BA"/>
    <w:rsid w:val="25553977"/>
    <w:rsid w:val="255B20C2"/>
    <w:rsid w:val="256A5769"/>
    <w:rsid w:val="258B383C"/>
    <w:rsid w:val="259C15A5"/>
    <w:rsid w:val="25BD776E"/>
    <w:rsid w:val="26105AEF"/>
    <w:rsid w:val="26492DAF"/>
    <w:rsid w:val="26E2748C"/>
    <w:rsid w:val="27182EAE"/>
    <w:rsid w:val="271D6716"/>
    <w:rsid w:val="27CE17BE"/>
    <w:rsid w:val="27F77B72"/>
    <w:rsid w:val="28B112DC"/>
    <w:rsid w:val="28C36E49"/>
    <w:rsid w:val="29154A1A"/>
    <w:rsid w:val="295E6B72"/>
    <w:rsid w:val="29F224B1"/>
    <w:rsid w:val="2AEF2177"/>
    <w:rsid w:val="2B16199C"/>
    <w:rsid w:val="2B287437"/>
    <w:rsid w:val="2B2D0EF2"/>
    <w:rsid w:val="2B434271"/>
    <w:rsid w:val="2B8F71EB"/>
    <w:rsid w:val="2C097269"/>
    <w:rsid w:val="2C365A9F"/>
    <w:rsid w:val="2C37513B"/>
    <w:rsid w:val="2CCF04B2"/>
    <w:rsid w:val="2CE33F5E"/>
    <w:rsid w:val="2D097F60"/>
    <w:rsid w:val="2D12214D"/>
    <w:rsid w:val="2D6A1F89"/>
    <w:rsid w:val="2DDE64D3"/>
    <w:rsid w:val="2DEC32E2"/>
    <w:rsid w:val="2DFE26D1"/>
    <w:rsid w:val="2E1603D0"/>
    <w:rsid w:val="2E19750B"/>
    <w:rsid w:val="2E1B3283"/>
    <w:rsid w:val="2E400F3C"/>
    <w:rsid w:val="2E644C2A"/>
    <w:rsid w:val="2FA240C1"/>
    <w:rsid w:val="2FBC3291"/>
    <w:rsid w:val="307E39A9"/>
    <w:rsid w:val="31085D41"/>
    <w:rsid w:val="314E571E"/>
    <w:rsid w:val="31AD1AB4"/>
    <w:rsid w:val="31CD2AE7"/>
    <w:rsid w:val="32096215"/>
    <w:rsid w:val="32894C60"/>
    <w:rsid w:val="32BF2D77"/>
    <w:rsid w:val="32E14A9C"/>
    <w:rsid w:val="33460DA3"/>
    <w:rsid w:val="33C63C91"/>
    <w:rsid w:val="34621C0C"/>
    <w:rsid w:val="34871673"/>
    <w:rsid w:val="35611EC4"/>
    <w:rsid w:val="35AB313F"/>
    <w:rsid w:val="35BF4E3C"/>
    <w:rsid w:val="35CE0152"/>
    <w:rsid w:val="35D00DF7"/>
    <w:rsid w:val="35D02BA5"/>
    <w:rsid w:val="36525CB0"/>
    <w:rsid w:val="368D0A96"/>
    <w:rsid w:val="36D6068F"/>
    <w:rsid w:val="3744384B"/>
    <w:rsid w:val="37533A8E"/>
    <w:rsid w:val="375F68D7"/>
    <w:rsid w:val="37E961A0"/>
    <w:rsid w:val="382471D8"/>
    <w:rsid w:val="38262F51"/>
    <w:rsid w:val="382673F4"/>
    <w:rsid w:val="38673C95"/>
    <w:rsid w:val="393671C3"/>
    <w:rsid w:val="39A22AAB"/>
    <w:rsid w:val="39AE1450"/>
    <w:rsid w:val="39D92970"/>
    <w:rsid w:val="3A3C4CAD"/>
    <w:rsid w:val="3A683269"/>
    <w:rsid w:val="3A995C5C"/>
    <w:rsid w:val="3AAB598F"/>
    <w:rsid w:val="3AC151B3"/>
    <w:rsid w:val="3B380C52"/>
    <w:rsid w:val="3B47390A"/>
    <w:rsid w:val="3B60677A"/>
    <w:rsid w:val="3BCE402B"/>
    <w:rsid w:val="3BFC2946"/>
    <w:rsid w:val="3C095063"/>
    <w:rsid w:val="3C5C5193"/>
    <w:rsid w:val="3C5C5852"/>
    <w:rsid w:val="3D42082D"/>
    <w:rsid w:val="3DBB3216"/>
    <w:rsid w:val="3DC40D83"/>
    <w:rsid w:val="3E5144CC"/>
    <w:rsid w:val="3E686071"/>
    <w:rsid w:val="3E9C3F6D"/>
    <w:rsid w:val="3F20694C"/>
    <w:rsid w:val="3FA07DCD"/>
    <w:rsid w:val="3FA4132B"/>
    <w:rsid w:val="3FDD483D"/>
    <w:rsid w:val="3FE61943"/>
    <w:rsid w:val="40EB2F89"/>
    <w:rsid w:val="40F57964"/>
    <w:rsid w:val="41720FB5"/>
    <w:rsid w:val="41B617E9"/>
    <w:rsid w:val="41C71300"/>
    <w:rsid w:val="41FD0D85"/>
    <w:rsid w:val="42870A90"/>
    <w:rsid w:val="42BC4BDD"/>
    <w:rsid w:val="42CD0B98"/>
    <w:rsid w:val="42EB7271"/>
    <w:rsid w:val="42FC147E"/>
    <w:rsid w:val="430D69EA"/>
    <w:rsid w:val="445A2900"/>
    <w:rsid w:val="44AE0556"/>
    <w:rsid w:val="44D04970"/>
    <w:rsid w:val="45810D31"/>
    <w:rsid w:val="46205483"/>
    <w:rsid w:val="4658048C"/>
    <w:rsid w:val="468431BC"/>
    <w:rsid w:val="4690085B"/>
    <w:rsid w:val="46D52711"/>
    <w:rsid w:val="47394A4E"/>
    <w:rsid w:val="47503B46"/>
    <w:rsid w:val="47573126"/>
    <w:rsid w:val="47963F38"/>
    <w:rsid w:val="480D386D"/>
    <w:rsid w:val="48A00AFD"/>
    <w:rsid w:val="48B819A3"/>
    <w:rsid w:val="48B85E47"/>
    <w:rsid w:val="48D32C81"/>
    <w:rsid w:val="49131CF7"/>
    <w:rsid w:val="49AD1724"/>
    <w:rsid w:val="49B56405"/>
    <w:rsid w:val="49F27137"/>
    <w:rsid w:val="4A2D016F"/>
    <w:rsid w:val="4A527BD5"/>
    <w:rsid w:val="4A69389D"/>
    <w:rsid w:val="4A7F731D"/>
    <w:rsid w:val="4A857FAB"/>
    <w:rsid w:val="4A881849"/>
    <w:rsid w:val="4AB443EC"/>
    <w:rsid w:val="4BBE1169"/>
    <w:rsid w:val="4C1930A0"/>
    <w:rsid w:val="4C3757F3"/>
    <w:rsid w:val="4C7958ED"/>
    <w:rsid w:val="4C9D15DC"/>
    <w:rsid w:val="4CBB7CB4"/>
    <w:rsid w:val="4CBC1D8C"/>
    <w:rsid w:val="4D104974"/>
    <w:rsid w:val="4D16138E"/>
    <w:rsid w:val="4D330192"/>
    <w:rsid w:val="4D714816"/>
    <w:rsid w:val="4DE90850"/>
    <w:rsid w:val="4DFC0584"/>
    <w:rsid w:val="4E1F24C4"/>
    <w:rsid w:val="4EAD5D22"/>
    <w:rsid w:val="4F277882"/>
    <w:rsid w:val="4F5D115C"/>
    <w:rsid w:val="4F5D5052"/>
    <w:rsid w:val="4F960564"/>
    <w:rsid w:val="501C4F0D"/>
    <w:rsid w:val="502C325A"/>
    <w:rsid w:val="50903205"/>
    <w:rsid w:val="50DC1ADE"/>
    <w:rsid w:val="50DF1E02"/>
    <w:rsid w:val="50E517A3"/>
    <w:rsid w:val="51413B07"/>
    <w:rsid w:val="51D6733E"/>
    <w:rsid w:val="520E0886"/>
    <w:rsid w:val="522D0059"/>
    <w:rsid w:val="525C7843"/>
    <w:rsid w:val="52866565"/>
    <w:rsid w:val="530A729F"/>
    <w:rsid w:val="530F2B07"/>
    <w:rsid w:val="531243A6"/>
    <w:rsid w:val="53425E07"/>
    <w:rsid w:val="53746E0E"/>
    <w:rsid w:val="537F5EDF"/>
    <w:rsid w:val="5386726D"/>
    <w:rsid w:val="53937294"/>
    <w:rsid w:val="539D6365"/>
    <w:rsid w:val="53B06098"/>
    <w:rsid w:val="53E61ABA"/>
    <w:rsid w:val="53EB3DCD"/>
    <w:rsid w:val="546E3226"/>
    <w:rsid w:val="55546EF7"/>
    <w:rsid w:val="555667CB"/>
    <w:rsid w:val="55A439DB"/>
    <w:rsid w:val="55A90FF1"/>
    <w:rsid w:val="55D36287"/>
    <w:rsid w:val="55D818D6"/>
    <w:rsid w:val="565F5B54"/>
    <w:rsid w:val="569F41A2"/>
    <w:rsid w:val="57236B81"/>
    <w:rsid w:val="572B41B4"/>
    <w:rsid w:val="572F5526"/>
    <w:rsid w:val="574D3BFE"/>
    <w:rsid w:val="575E7255"/>
    <w:rsid w:val="577E64AD"/>
    <w:rsid w:val="578329F2"/>
    <w:rsid w:val="57A8352A"/>
    <w:rsid w:val="57C96941"/>
    <w:rsid w:val="57EE3633"/>
    <w:rsid w:val="580F7106"/>
    <w:rsid w:val="5815411F"/>
    <w:rsid w:val="585D4315"/>
    <w:rsid w:val="5886561A"/>
    <w:rsid w:val="589971E7"/>
    <w:rsid w:val="58CF5213"/>
    <w:rsid w:val="590F1AB3"/>
    <w:rsid w:val="59A321FB"/>
    <w:rsid w:val="59AD6BD6"/>
    <w:rsid w:val="59B30690"/>
    <w:rsid w:val="59CA7C9C"/>
    <w:rsid w:val="59F369C9"/>
    <w:rsid w:val="5A6220B6"/>
    <w:rsid w:val="5A93401E"/>
    <w:rsid w:val="5B1F3B03"/>
    <w:rsid w:val="5BBB7CD0"/>
    <w:rsid w:val="5C036F81"/>
    <w:rsid w:val="5C25514A"/>
    <w:rsid w:val="5C2F5FC8"/>
    <w:rsid w:val="5C62014C"/>
    <w:rsid w:val="5C735EB5"/>
    <w:rsid w:val="5D2B49E2"/>
    <w:rsid w:val="5DCB1D21"/>
    <w:rsid w:val="5ECE7DD0"/>
    <w:rsid w:val="5EDD1D0C"/>
    <w:rsid w:val="5F066ACE"/>
    <w:rsid w:val="5F4104EC"/>
    <w:rsid w:val="5F795ED8"/>
    <w:rsid w:val="5FB07420"/>
    <w:rsid w:val="5FC31187"/>
    <w:rsid w:val="5FF612D7"/>
    <w:rsid w:val="60FB46CB"/>
    <w:rsid w:val="6129748A"/>
    <w:rsid w:val="61406582"/>
    <w:rsid w:val="6155027F"/>
    <w:rsid w:val="61C55405"/>
    <w:rsid w:val="61D4222D"/>
    <w:rsid w:val="622D2FAA"/>
    <w:rsid w:val="62516C98"/>
    <w:rsid w:val="62571DD5"/>
    <w:rsid w:val="626562A0"/>
    <w:rsid w:val="629E7A04"/>
    <w:rsid w:val="62B9483E"/>
    <w:rsid w:val="62C531E2"/>
    <w:rsid w:val="62CC4571"/>
    <w:rsid w:val="62CF4061"/>
    <w:rsid w:val="633F4D43"/>
    <w:rsid w:val="63E92F01"/>
    <w:rsid w:val="6477675E"/>
    <w:rsid w:val="64A357A5"/>
    <w:rsid w:val="64C86FBA"/>
    <w:rsid w:val="65077AE2"/>
    <w:rsid w:val="6518584B"/>
    <w:rsid w:val="6620692F"/>
    <w:rsid w:val="66216982"/>
    <w:rsid w:val="66B0019C"/>
    <w:rsid w:val="671B7875"/>
    <w:rsid w:val="68CB0E27"/>
    <w:rsid w:val="696279DD"/>
    <w:rsid w:val="69825989"/>
    <w:rsid w:val="699456BD"/>
    <w:rsid w:val="699D6B55"/>
    <w:rsid w:val="69A04061"/>
    <w:rsid w:val="69C214A4"/>
    <w:rsid w:val="69CC12FA"/>
    <w:rsid w:val="69D1246D"/>
    <w:rsid w:val="6A1B4A9D"/>
    <w:rsid w:val="6A576E16"/>
    <w:rsid w:val="6ADE3093"/>
    <w:rsid w:val="6B47600F"/>
    <w:rsid w:val="6B8856C9"/>
    <w:rsid w:val="6B90613E"/>
    <w:rsid w:val="6B96571C"/>
    <w:rsid w:val="6BAC13E3"/>
    <w:rsid w:val="6CBA7B30"/>
    <w:rsid w:val="6CCE7137"/>
    <w:rsid w:val="6CF5699D"/>
    <w:rsid w:val="6CFE7A1D"/>
    <w:rsid w:val="6D7101EF"/>
    <w:rsid w:val="6DC0799D"/>
    <w:rsid w:val="6DF66946"/>
    <w:rsid w:val="6E301E58"/>
    <w:rsid w:val="6E5042A8"/>
    <w:rsid w:val="6E6B7334"/>
    <w:rsid w:val="6F103A37"/>
    <w:rsid w:val="6F2D0FD8"/>
    <w:rsid w:val="6FF34B24"/>
    <w:rsid w:val="703F45D4"/>
    <w:rsid w:val="707A20B1"/>
    <w:rsid w:val="71F66F14"/>
    <w:rsid w:val="722A292B"/>
    <w:rsid w:val="72536115"/>
    <w:rsid w:val="727D5888"/>
    <w:rsid w:val="733221CE"/>
    <w:rsid w:val="73966C01"/>
    <w:rsid w:val="73B515B8"/>
    <w:rsid w:val="73D239B1"/>
    <w:rsid w:val="73EF7C03"/>
    <w:rsid w:val="745C6091"/>
    <w:rsid w:val="74675EA7"/>
    <w:rsid w:val="74AC593F"/>
    <w:rsid w:val="74FD05BA"/>
    <w:rsid w:val="74FE35BE"/>
    <w:rsid w:val="75104791"/>
    <w:rsid w:val="75622B13"/>
    <w:rsid w:val="75E021D2"/>
    <w:rsid w:val="7621652A"/>
    <w:rsid w:val="76522B87"/>
    <w:rsid w:val="76BB24DB"/>
    <w:rsid w:val="770A5210"/>
    <w:rsid w:val="77446974"/>
    <w:rsid w:val="775C27ED"/>
    <w:rsid w:val="77764653"/>
    <w:rsid w:val="78267E28"/>
    <w:rsid w:val="783F2245"/>
    <w:rsid w:val="785E3A65"/>
    <w:rsid w:val="78AA0A59"/>
    <w:rsid w:val="78EA70A7"/>
    <w:rsid w:val="792F71B0"/>
    <w:rsid w:val="79F673A7"/>
    <w:rsid w:val="7A0128FA"/>
    <w:rsid w:val="7A2D1941"/>
    <w:rsid w:val="7A770E0E"/>
    <w:rsid w:val="7A807CC3"/>
    <w:rsid w:val="7A837AAD"/>
    <w:rsid w:val="7A995229"/>
    <w:rsid w:val="7B424F78"/>
    <w:rsid w:val="7B6969A9"/>
    <w:rsid w:val="7BE91898"/>
    <w:rsid w:val="7C7C270C"/>
    <w:rsid w:val="7C8A4E29"/>
    <w:rsid w:val="7C8F372A"/>
    <w:rsid w:val="7CBC418E"/>
    <w:rsid w:val="7D016D33"/>
    <w:rsid w:val="7D20753B"/>
    <w:rsid w:val="7D4551F4"/>
    <w:rsid w:val="7D696E0C"/>
    <w:rsid w:val="7DBF6D54"/>
    <w:rsid w:val="7DFA53A3"/>
    <w:rsid w:val="7E0E3838"/>
    <w:rsid w:val="7E492AC2"/>
    <w:rsid w:val="7E861620"/>
    <w:rsid w:val="7EF42A2E"/>
    <w:rsid w:val="7F0013D2"/>
    <w:rsid w:val="7F1237C7"/>
    <w:rsid w:val="7F7D0C75"/>
    <w:rsid w:val="FF166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kern w:val="44"/>
      <w:sz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4">
    <w:name w:val="annotation text"/>
    <w:basedOn w:val="1"/>
    <w:link w:val="20"/>
    <w:qFormat/>
    <w:uiPriority w:val="0"/>
    <w:pPr>
      <w:jc w:val="left"/>
    </w:pPr>
  </w:style>
  <w:style w:type="paragraph" w:styleId="5">
    <w:name w:val="Body Text"/>
    <w:basedOn w:val="1"/>
    <w:qFormat/>
    <w:uiPriority w:val="0"/>
    <w:pPr>
      <w:spacing w:line="360" w:lineRule="auto"/>
      <w:ind w:firstLine="200" w:firstLineChars="200"/>
    </w:pPr>
    <w:rPr>
      <w:rFonts w:eastAsia="仿宋_GB2312"/>
      <w:sz w:val="28"/>
      <w:szCs w:val="28"/>
    </w:rPr>
  </w:style>
  <w:style w:type="paragraph" w:styleId="6">
    <w:name w:val="Balloon Text"/>
    <w:basedOn w:val="1"/>
    <w:link w:val="19"/>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2">
    <w:name w:val="annotation subject"/>
    <w:basedOn w:val="4"/>
    <w:next w:val="4"/>
    <w:link w:val="21"/>
    <w:semiHidden/>
    <w:unhideWhenUsed/>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qFormat/>
    <w:uiPriority w:val="0"/>
    <w:rPr>
      <w:sz w:val="21"/>
      <w:szCs w:val="21"/>
    </w:rPr>
  </w:style>
  <w:style w:type="character" w:customStyle="1" w:styleId="19">
    <w:name w:val="批注框文本 字符"/>
    <w:basedOn w:val="15"/>
    <w:link w:val="6"/>
    <w:qFormat/>
    <w:uiPriority w:val="0"/>
    <w:rPr>
      <w:rFonts w:ascii="Calibri" w:hAnsi="Calibri" w:eastAsia="宋体" w:cs="Calibri"/>
      <w:kern w:val="2"/>
      <w:sz w:val="18"/>
      <w:szCs w:val="18"/>
    </w:rPr>
  </w:style>
  <w:style w:type="character" w:customStyle="1" w:styleId="20">
    <w:name w:val="批注文字 字符"/>
    <w:basedOn w:val="15"/>
    <w:link w:val="4"/>
    <w:qFormat/>
    <w:uiPriority w:val="0"/>
    <w:rPr>
      <w:rFonts w:ascii="Calibri" w:hAnsi="Calibri" w:cs="Calibri"/>
      <w:kern w:val="2"/>
      <w:sz w:val="21"/>
      <w:szCs w:val="24"/>
    </w:rPr>
  </w:style>
  <w:style w:type="character" w:customStyle="1" w:styleId="21">
    <w:name w:val="批注主题 字符"/>
    <w:basedOn w:val="20"/>
    <w:link w:val="12"/>
    <w:semiHidden/>
    <w:qFormat/>
    <w:uiPriority w:val="0"/>
    <w:rPr>
      <w:rFonts w:ascii="Calibri" w:hAnsi="Calibri" w:cs="Calibri"/>
      <w:b/>
      <w:bCs/>
      <w:kern w:val="2"/>
      <w:sz w:val="21"/>
      <w:szCs w:val="24"/>
    </w:rPr>
  </w:style>
  <w:style w:type="paragraph" w:customStyle="1" w:styleId="22">
    <w:name w:val="UserStyle_0"/>
    <w:basedOn w:val="1"/>
    <w:qFormat/>
    <w:uiPriority w:val="0"/>
    <w:pPr>
      <w:spacing w:after="120"/>
      <w:textAlignment w:val="baseline"/>
    </w:pPr>
    <w:rPr>
      <w:rFonts w:ascii="Times New Roman" w:hAnsi="Times New Roman" w:eastAsia="等线" w:cs="Times New Roman"/>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44</Pages>
  <Words>1570</Words>
  <Characters>1637</Characters>
  <Lines>165</Lines>
  <Paragraphs>46</Paragraphs>
  <TotalTime>2</TotalTime>
  <ScaleCrop>false</ScaleCrop>
  <LinksUpToDate>false</LinksUpToDate>
  <CharactersWithSpaces>1685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2024-01-15T17:46:00Z</dcterms:created>
  <dc:creator>Administrator</dc:creator>
  <cp:lastModifiedBy>安然弱水</cp:lastModifiedBy>
  <cp:lastPrinted>2024-01-15T17:02:00Z</cp:lastPrinted>
  <dcterms:modified xsi:type="dcterms:W3CDTF">2026-09-01T08:59:24Z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32CBB380375F4B4699CF96666A9A2176</vt:lpwstr>
  </property>
  <property fmtid="{D5CDD505-2E9C-101B-9397-08002B2CF9AE}" pid="4" name="KSOTemplateDocerSaveRecord">
    <vt:lpwstr>eyJoZGlkIjoiNTY1MGQ5ZDcyMmUwY2NiYWVlNWY0OWY5NDcwMGM5M2MiLCJ1c2VySWQiOiIxMzAwNjA3NzU5In0=</vt:lpwstr>
  </property>
</Properties>
</file>